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0D" w:rsidRPr="002A14E2" w:rsidRDefault="009B37CA" w:rsidP="00743F98">
      <w:pPr>
        <w:pStyle w:val="Title-accessible"/>
      </w:pPr>
      <w:r w:rsidRPr="002A14E2">
        <w:t>Resource kit</w:t>
      </w:r>
    </w:p>
    <w:p w:rsidR="009B37CA" w:rsidRPr="002A14E2" w:rsidRDefault="002A14E2" w:rsidP="00743F98">
      <w:pPr>
        <w:pStyle w:val="Title-accessible"/>
      </w:pPr>
      <w:r>
        <w:t>A h</w:t>
      </w:r>
      <w:r w:rsidR="009B37CA" w:rsidRPr="002A14E2">
        <w:t xml:space="preserve">istory of </w:t>
      </w:r>
      <w:r w:rsidR="007D1EC8">
        <w:br/>
      </w:r>
      <w:r w:rsidR="009B37CA" w:rsidRPr="002A14E2">
        <w:t>Old Parliament House</w:t>
      </w: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</w:p>
    <w:p w:rsidR="007D1EC8" w:rsidRDefault="007D1E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sdt>
      <w:sdtPr>
        <w:id w:val="-123902469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AU" w:eastAsia="en-US"/>
        </w:rPr>
      </w:sdtEndPr>
      <w:sdtContent>
        <w:p w:rsidR="005F7DFF" w:rsidRPr="005F7DFF" w:rsidRDefault="005F7DFF">
          <w:pPr>
            <w:pStyle w:val="TOCHeading"/>
            <w:rPr>
              <w:color w:val="auto"/>
            </w:rPr>
          </w:pPr>
          <w:r w:rsidRPr="005F7DFF">
            <w:rPr>
              <w:color w:val="auto"/>
            </w:rPr>
            <w:t>Contents</w:t>
          </w:r>
        </w:p>
        <w:p w:rsidR="005F7DFF" w:rsidRPr="005F7DFF" w:rsidRDefault="005F7DFF">
          <w:pPr>
            <w:pStyle w:val="TOC1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1421556" w:history="1">
            <w:r w:rsidRPr="005F7DFF">
              <w:rPr>
                <w:rStyle w:val="Hyperlink"/>
                <w:noProof/>
                <w:sz w:val="20"/>
                <w:szCs w:val="20"/>
              </w:rPr>
              <w:t>Introduction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_Toc331421556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2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1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57" w:history="1">
            <w:r w:rsidRPr="005F7DFF">
              <w:rPr>
                <w:rStyle w:val="Hyperlink"/>
                <w:noProof/>
                <w:sz w:val="20"/>
                <w:szCs w:val="20"/>
              </w:rPr>
              <w:t>The building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_Toc331421557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3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58" w:history="1">
            <w:r w:rsidRPr="005F7DFF">
              <w:rPr>
                <w:rStyle w:val="Hyperlink"/>
                <w:noProof/>
                <w:sz w:val="20"/>
                <w:szCs w:val="20"/>
              </w:rPr>
              <w:t>The building that shaped the nation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_Toc331421558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3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59" w:history="1">
            <w:r w:rsidRPr="005F7DFF">
              <w:rPr>
                <w:rStyle w:val="Hyperlink"/>
                <w:noProof/>
                <w:sz w:val="20"/>
                <w:szCs w:val="20"/>
              </w:rPr>
              <w:t>Design and Construction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_Toc331421559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4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60" w:history="1">
            <w:r w:rsidRPr="005F7DFF">
              <w:rPr>
                <w:rStyle w:val="Hyperlink"/>
                <w:noProof/>
                <w:sz w:val="20"/>
                <w:szCs w:val="20"/>
              </w:rPr>
              <w:t>The House of Representatives Chamber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_Toc331421560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5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61" w:history="1">
            <w:r w:rsidRPr="005F7DFF">
              <w:rPr>
                <w:rStyle w:val="Hyperlink"/>
                <w:noProof/>
                <w:sz w:val="20"/>
                <w:szCs w:val="20"/>
              </w:rPr>
              <w:t>The Senate Chamber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_Toc331421561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6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62" w:history="1">
            <w:r w:rsidRPr="005F7DFF">
              <w:rPr>
                <w:rStyle w:val="Hyperlink"/>
                <w:noProof/>
                <w:sz w:val="20"/>
                <w:szCs w:val="20"/>
              </w:rPr>
              <w:t>The Cabinet Room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_Toc331421562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7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63" w:history="1">
            <w:r w:rsidRPr="005F7DFF">
              <w:rPr>
                <w:rStyle w:val="Hyperlink"/>
                <w:noProof/>
                <w:sz w:val="20"/>
                <w:szCs w:val="20"/>
              </w:rPr>
              <w:t>The Gardens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_Toc331421563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8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1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64" w:history="1">
            <w:r w:rsidRPr="005F7DFF">
              <w:rPr>
                <w:rStyle w:val="Hyperlink"/>
                <w:noProof/>
                <w:sz w:val="20"/>
                <w:szCs w:val="20"/>
              </w:rPr>
              <w:t>The events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_Toc331421564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9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65" w:history="1">
            <w:r w:rsidRPr="005F7DFF">
              <w:rPr>
                <w:rStyle w:val="Hyperlink"/>
                <w:noProof/>
                <w:sz w:val="20"/>
                <w:szCs w:val="20"/>
              </w:rPr>
              <w:t>Old Parliament House opens in 1927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_Toc331421565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9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66" w:history="1">
            <w:r w:rsidRPr="005F7DFF">
              <w:rPr>
                <w:rStyle w:val="Hyperlink"/>
                <w:noProof/>
                <w:sz w:val="20"/>
                <w:szCs w:val="20"/>
              </w:rPr>
              <w:t>The Second World War 1939–45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_Toc331421566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10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67" w:history="1">
            <w:r w:rsidRPr="005F7DFF">
              <w:rPr>
                <w:rStyle w:val="Hyperlink"/>
                <w:noProof/>
                <w:sz w:val="20"/>
                <w:szCs w:val="20"/>
              </w:rPr>
              <w:t>The Federal Election 1949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_Toc331421567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11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68" w:history="1">
            <w:r w:rsidRPr="005F7DFF">
              <w:rPr>
                <w:rStyle w:val="Hyperlink"/>
                <w:noProof/>
                <w:sz w:val="20"/>
                <w:szCs w:val="20"/>
              </w:rPr>
              <w:t>The Royal Visit 1954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_Toc331421568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12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69" w:history="1">
            <w:r w:rsidRPr="005F7DFF">
              <w:rPr>
                <w:rStyle w:val="Hyperlink"/>
                <w:noProof/>
                <w:sz w:val="20"/>
                <w:szCs w:val="20"/>
              </w:rPr>
              <w:t>The Dismissal 1975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_Toc331421569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13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70" w:history="1">
            <w:r w:rsidRPr="005F7DFF">
              <w:rPr>
                <w:rStyle w:val="Hyperlink"/>
                <w:noProof/>
                <w:sz w:val="20"/>
                <w:szCs w:val="20"/>
              </w:rPr>
              <w:t>The National Service Act 1964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_Toc331421570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14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1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71" w:history="1">
            <w:r w:rsidRPr="005F7DFF">
              <w:rPr>
                <w:rStyle w:val="Hyperlink"/>
                <w:noProof/>
                <w:sz w:val="20"/>
                <w:szCs w:val="20"/>
              </w:rPr>
              <w:t>The decisions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_Toc331421571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15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72" w:history="1">
            <w:r w:rsidRPr="005F7DFF">
              <w:rPr>
                <w:rStyle w:val="Hyperlink"/>
                <w:noProof/>
                <w:sz w:val="20"/>
                <w:szCs w:val="20"/>
              </w:rPr>
              <w:t>The Referendum 1967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_Toc331421572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15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73" w:history="1">
            <w:r w:rsidRPr="005F7DFF">
              <w:rPr>
                <w:rStyle w:val="Hyperlink"/>
                <w:noProof/>
                <w:sz w:val="20"/>
                <w:szCs w:val="20"/>
              </w:rPr>
              <w:t>The Racial Discrimination Act 1975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_Toc331421573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16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74" w:history="1">
            <w:r w:rsidRPr="005F7DFF">
              <w:rPr>
                <w:rStyle w:val="Hyperlink"/>
                <w:noProof/>
                <w:sz w:val="20"/>
                <w:szCs w:val="20"/>
              </w:rPr>
              <w:t>The World Heritage Properties Conservation Act 1983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_Toc331421574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17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1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75" w:history="1">
            <w:r w:rsidRPr="005F7DFF">
              <w:rPr>
                <w:rStyle w:val="Hyperlink"/>
                <w:noProof/>
                <w:sz w:val="20"/>
                <w:szCs w:val="20"/>
              </w:rPr>
              <w:t>The Prime Ministers of Old Parliament House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_Toc331421575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18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76" w:history="1">
            <w:r w:rsidRPr="005F7DFF">
              <w:rPr>
                <w:rStyle w:val="Hyperlink"/>
                <w:noProof/>
                <w:sz w:val="20"/>
                <w:szCs w:val="20"/>
              </w:rPr>
              <w:t>Stanley Melbourne Bruce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_Toc331421576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18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77" w:history="1">
            <w:r w:rsidRPr="005F7DFF">
              <w:rPr>
                <w:rStyle w:val="Hyperlink"/>
                <w:noProof/>
                <w:sz w:val="20"/>
                <w:szCs w:val="20"/>
              </w:rPr>
              <w:t>James Scullin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_Toc331421577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18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78" w:history="1">
            <w:r w:rsidRPr="005F7DFF">
              <w:rPr>
                <w:rStyle w:val="Hyperlink"/>
                <w:noProof/>
                <w:sz w:val="20"/>
                <w:szCs w:val="20"/>
              </w:rPr>
              <w:t>Joseph Lyons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_Toc331421578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18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79" w:history="1">
            <w:r w:rsidRPr="005F7DFF">
              <w:rPr>
                <w:rStyle w:val="Hyperlink"/>
                <w:noProof/>
                <w:sz w:val="20"/>
                <w:szCs w:val="20"/>
              </w:rPr>
              <w:t>Sir Earle Page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_Toc331421579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18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80" w:history="1">
            <w:r w:rsidRPr="005F7DFF">
              <w:rPr>
                <w:rStyle w:val="Hyperlink"/>
                <w:noProof/>
                <w:sz w:val="20"/>
                <w:szCs w:val="20"/>
              </w:rPr>
              <w:t>Sir Robert Menzies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_Toc331421580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18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81" w:history="1">
            <w:r w:rsidRPr="005F7DFF">
              <w:rPr>
                <w:rStyle w:val="Hyperlink"/>
                <w:noProof/>
                <w:sz w:val="20"/>
                <w:szCs w:val="20"/>
              </w:rPr>
              <w:t>Arthur Fadden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_Toc331421581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19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82" w:history="1">
            <w:r w:rsidRPr="005F7DFF">
              <w:rPr>
                <w:rStyle w:val="Hyperlink"/>
                <w:noProof/>
                <w:sz w:val="20"/>
                <w:szCs w:val="20"/>
              </w:rPr>
              <w:t>John Curtin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_Toc331421582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19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83" w:history="1">
            <w:r w:rsidRPr="005F7DFF">
              <w:rPr>
                <w:rStyle w:val="Hyperlink"/>
                <w:noProof/>
                <w:sz w:val="20"/>
                <w:szCs w:val="20"/>
              </w:rPr>
              <w:t>Francis Forde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_Toc331421583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19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84" w:history="1">
            <w:r w:rsidRPr="005F7DFF">
              <w:rPr>
                <w:rStyle w:val="Hyperlink"/>
                <w:noProof/>
                <w:sz w:val="20"/>
                <w:szCs w:val="20"/>
              </w:rPr>
              <w:t>Ben Chifley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_Toc331421584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19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85" w:history="1">
            <w:r w:rsidRPr="005F7DFF">
              <w:rPr>
                <w:rStyle w:val="Hyperlink"/>
                <w:noProof/>
                <w:sz w:val="20"/>
                <w:szCs w:val="20"/>
              </w:rPr>
              <w:t>Sir Robert Menzies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_Toc331421585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19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86" w:history="1">
            <w:r w:rsidRPr="005F7DFF">
              <w:rPr>
                <w:rStyle w:val="Hyperlink"/>
                <w:noProof/>
                <w:sz w:val="20"/>
                <w:szCs w:val="20"/>
              </w:rPr>
              <w:t>Harold Holt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_Toc331421586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20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87" w:history="1">
            <w:r w:rsidRPr="005F7DFF">
              <w:rPr>
                <w:rStyle w:val="Hyperlink"/>
                <w:noProof/>
                <w:sz w:val="20"/>
                <w:szCs w:val="20"/>
              </w:rPr>
              <w:t>Sir John McEwen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_Toc331421587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20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88" w:history="1">
            <w:r w:rsidRPr="005F7DFF">
              <w:rPr>
                <w:rStyle w:val="Hyperlink"/>
                <w:noProof/>
                <w:sz w:val="20"/>
                <w:szCs w:val="20"/>
              </w:rPr>
              <w:t>John Gorton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_Toc331421588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20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89" w:history="1">
            <w:r w:rsidRPr="005F7DFF">
              <w:rPr>
                <w:rStyle w:val="Hyperlink"/>
                <w:noProof/>
                <w:sz w:val="20"/>
                <w:szCs w:val="20"/>
              </w:rPr>
              <w:t>Sir William McMahon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_Toc331421589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20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90" w:history="1">
            <w:r w:rsidRPr="005F7DFF">
              <w:rPr>
                <w:rStyle w:val="Hyperlink"/>
                <w:noProof/>
                <w:sz w:val="20"/>
                <w:szCs w:val="20"/>
              </w:rPr>
              <w:t>Gough Whitlam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_Toc331421590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20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Pr="005F7DFF" w:rsidRDefault="005F7DFF">
          <w:pPr>
            <w:pStyle w:val="TOC2"/>
            <w:tabs>
              <w:tab w:val="right" w:leader="dot" w:pos="9016"/>
            </w:tabs>
            <w:rPr>
              <w:noProof/>
              <w:sz w:val="20"/>
              <w:szCs w:val="20"/>
            </w:rPr>
          </w:pPr>
          <w:hyperlink w:anchor="_Toc331421591" w:history="1">
            <w:r w:rsidRPr="005F7DFF">
              <w:rPr>
                <w:rStyle w:val="Hyperlink"/>
                <w:noProof/>
                <w:sz w:val="20"/>
                <w:szCs w:val="20"/>
              </w:rPr>
              <w:t>Malcolm Fraser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_Toc331421591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21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Default="005F7DFF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31421592" w:history="1">
            <w:r w:rsidRPr="005F7DFF">
              <w:rPr>
                <w:rStyle w:val="Hyperlink"/>
                <w:noProof/>
                <w:sz w:val="20"/>
                <w:szCs w:val="20"/>
              </w:rPr>
              <w:t>Bob Hawke</w:t>
            </w:r>
            <w:r w:rsidRPr="005F7DFF">
              <w:rPr>
                <w:noProof/>
                <w:webHidden/>
                <w:sz w:val="20"/>
                <w:szCs w:val="20"/>
              </w:rPr>
              <w:tab/>
            </w:r>
            <w:r w:rsidRPr="005F7DFF">
              <w:rPr>
                <w:noProof/>
                <w:webHidden/>
                <w:sz w:val="20"/>
                <w:szCs w:val="20"/>
              </w:rPr>
              <w:fldChar w:fldCharType="begin"/>
            </w:r>
            <w:r w:rsidRPr="005F7DFF">
              <w:rPr>
                <w:noProof/>
                <w:webHidden/>
                <w:sz w:val="20"/>
                <w:szCs w:val="20"/>
              </w:rPr>
              <w:instrText xml:space="preserve"> PAGEREF _Toc331421592 \h </w:instrText>
            </w:r>
            <w:r w:rsidRPr="005F7DFF">
              <w:rPr>
                <w:noProof/>
                <w:webHidden/>
                <w:sz w:val="20"/>
                <w:szCs w:val="20"/>
              </w:rPr>
            </w:r>
            <w:r w:rsidRPr="005F7DFF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5F7DFF">
              <w:rPr>
                <w:noProof/>
                <w:webHidden/>
                <w:sz w:val="20"/>
                <w:szCs w:val="20"/>
              </w:rPr>
              <w:t>21</w:t>
            </w:r>
            <w:r w:rsidRPr="005F7DF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F7DFF" w:rsidRDefault="005F7DFF">
          <w:r>
            <w:rPr>
              <w:b/>
              <w:bCs/>
              <w:noProof/>
            </w:rPr>
            <w:fldChar w:fldCharType="end"/>
          </w:r>
        </w:p>
      </w:sdtContent>
    </w:sdt>
    <w:p w:rsidR="009B37CA" w:rsidRDefault="009B37CA" w:rsidP="007D1EC8">
      <w:pPr>
        <w:pStyle w:val="H1"/>
      </w:pPr>
      <w:bookmarkStart w:id="1" w:name="_Toc331421556"/>
      <w:r w:rsidRPr="009B37CA">
        <w:t>Introduction</w:t>
      </w:r>
      <w:bookmarkEnd w:id="1"/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 xml:space="preserve">The Museum of Australian Democracy (MoAD) at </w:t>
      </w:r>
      <w:r w:rsidR="00743F98">
        <w:rPr>
          <w:rFonts w:ascii="Arial" w:hAnsi="Arial" w:cs="Arial"/>
        </w:rPr>
        <w:t xml:space="preserve">Old Parliament House celebrates </w:t>
      </w:r>
      <w:r w:rsidRPr="009B37CA">
        <w:rPr>
          <w:rFonts w:ascii="Arial" w:hAnsi="Arial" w:cs="Arial"/>
        </w:rPr>
        <w:t>Australia’s greatest achievement—its democracy. It lin</w:t>
      </w:r>
      <w:r w:rsidR="00743F98">
        <w:rPr>
          <w:rFonts w:ascii="Arial" w:hAnsi="Arial" w:cs="Arial"/>
        </w:rPr>
        <w:t xml:space="preserve">ks the past, present and future </w:t>
      </w:r>
      <w:r w:rsidRPr="009B37CA">
        <w:rPr>
          <w:rFonts w:ascii="Arial" w:hAnsi="Arial" w:cs="Arial"/>
        </w:rPr>
        <w:t>of Australian democracy with the history and heritage of the building—we show</w:t>
      </w:r>
      <w:r w:rsidR="00743F9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what happened in the very place most democratic decisions that shaped our nation</w:t>
      </w:r>
      <w:r w:rsidR="00743F9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were made.</w:t>
      </w: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 61 years that Old Parliament House served as the home of the Federal</w:t>
      </w:r>
      <w:r w:rsidR="00743F9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Parliament was a time of enormous change in Australia. The country grew from</w:t>
      </w:r>
      <w:r w:rsidR="00743F9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an Imperial Dominion to a nation in its own right. Over that time, the building</w:t>
      </w:r>
      <w:r w:rsidR="00743F9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was the theatre in which the politics of the day were played out and momentous</w:t>
      </w:r>
      <w:r w:rsidR="00743F9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decisions made.</w:t>
      </w: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Today, the importance of the building lies in its historical and social value to the</w:t>
      </w:r>
      <w:r w:rsidR="00743F9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Australian people. The building is a nationally significant ‘museum of itself’ and of</w:t>
      </w:r>
      <w:r w:rsidR="00743F9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Australia’s political heritage. It is listed on the National Heritage Register and as such,</w:t>
      </w:r>
      <w:r w:rsidR="00743F9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is a precious place.</w:t>
      </w: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MoAD Learning has prepared this Resource Kit in response to requests from</w:t>
      </w:r>
      <w:r w:rsidR="00743F9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teachers, students and parents for information on the history of the building and</w:t>
      </w:r>
      <w:r w:rsidR="00743F9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people in it. Produced in a fact sheet format with each page covering one topic,</w:t>
      </w:r>
      <w:r w:rsidR="00743F9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teachers can use the information for background research for a unit on Federal</w:t>
      </w:r>
      <w:r w:rsidR="00743F9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Parliament and as a starting point for further study and discussion.</w:t>
      </w:r>
    </w:p>
    <w:p w:rsidR="00743F98" w:rsidRPr="009B37CA" w:rsidRDefault="00743F98" w:rsidP="009B37CA">
      <w:pPr>
        <w:spacing w:after="0" w:line="240" w:lineRule="auto"/>
        <w:rPr>
          <w:rFonts w:ascii="Arial" w:hAnsi="Arial" w:cs="Arial"/>
        </w:rPr>
      </w:pP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 xml:space="preserve">For further information and resources check </w:t>
      </w:r>
      <w:hyperlink r:id="rId8" w:history="1">
        <w:r w:rsidRPr="000F1C15">
          <w:rPr>
            <w:rStyle w:val="Hyperlink"/>
            <w:rFonts w:ascii="Arial" w:hAnsi="Arial" w:cs="Arial"/>
          </w:rPr>
          <w:t>our website</w:t>
        </w:r>
      </w:hyperlink>
      <w:r w:rsidR="000F1C15">
        <w:rPr>
          <w:rFonts w:ascii="Arial" w:hAnsi="Arial" w:cs="Arial"/>
        </w:rPr>
        <w:t>.</w:t>
      </w:r>
      <w:r w:rsidR="000F1C15" w:rsidRPr="009B37CA">
        <w:rPr>
          <w:rFonts w:ascii="Arial" w:hAnsi="Arial" w:cs="Arial"/>
        </w:rPr>
        <w:t xml:space="preserve"> </w:t>
      </w: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MoAD Learning</w:t>
      </w: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May 2010</w:t>
      </w:r>
    </w:p>
    <w:p w:rsidR="009B37CA" w:rsidRDefault="009B37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37CA" w:rsidRDefault="009B37CA" w:rsidP="007D1EC8">
      <w:pPr>
        <w:pStyle w:val="H1"/>
      </w:pPr>
      <w:bookmarkStart w:id="2" w:name="_Toc331421557"/>
      <w:r w:rsidRPr="009B37CA">
        <w:lastRenderedPageBreak/>
        <w:t>The building</w:t>
      </w:r>
      <w:bookmarkEnd w:id="2"/>
    </w:p>
    <w:p w:rsidR="009B37CA" w:rsidRDefault="009B37CA" w:rsidP="007D1EC8">
      <w:pPr>
        <w:pStyle w:val="H2"/>
      </w:pPr>
      <w:bookmarkStart w:id="3" w:name="_Toc331421558"/>
      <w:r w:rsidRPr="009B37CA">
        <w:t>The building that shaped the nation</w:t>
      </w:r>
      <w:bookmarkEnd w:id="3"/>
    </w:p>
    <w:p w:rsidR="007D1EC8" w:rsidRDefault="007D1EC8" w:rsidP="009B37CA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6"/>
        </w:rPr>
      </w:pP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Old Parliament House was the home of the Federal Parliament from 1927 to 1988.</w:t>
      </w: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During this time, great changes took place in Australian social and political life.</w:t>
      </w: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This is the building in which democracy matured in Australia. It was here t</w:t>
      </w:r>
      <w:r w:rsidR="005B0064">
        <w:rPr>
          <w:rFonts w:ascii="Arial" w:hAnsi="Arial" w:cs="Arial"/>
        </w:rPr>
        <w:t xml:space="preserve">he nation </w:t>
      </w:r>
      <w:r w:rsidRPr="009B37CA">
        <w:rPr>
          <w:rFonts w:ascii="Arial" w:hAnsi="Arial" w:cs="Arial"/>
        </w:rPr>
        <w:t>was shaped.</w:t>
      </w: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 xml:space="preserve">The building was designed by John Smith </w:t>
      </w:r>
      <w:r w:rsidR="005B0064">
        <w:rPr>
          <w:rFonts w:ascii="Arial" w:hAnsi="Arial" w:cs="Arial"/>
        </w:rPr>
        <w:t xml:space="preserve">Murdoch; the first Commonwealth </w:t>
      </w:r>
      <w:r w:rsidRPr="009B37CA">
        <w:rPr>
          <w:rFonts w:ascii="Arial" w:hAnsi="Arial" w:cs="Arial"/>
        </w:rPr>
        <w:t>government architect. He was asked to design a ‘provisional’ building intended to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serve as a parliament for 50 years. Around the building grew the new Australian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capital city of Canberra. The need for a national capital arose when the Australian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colonies united to form the Commonwealth of Australia in 1901.</w:t>
      </w: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Parliament House was like a town within the city of Canberra. It had its own library,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post office, barber, carpentry workshop, bars and dining room. By the 1980s,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thousands of people worked in the building including politicians, parliamentary staff,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 xml:space="preserve">Hansard reporters, journalists, </w:t>
      </w:r>
      <w:proofErr w:type="gramStart"/>
      <w:r w:rsidRPr="009B37CA">
        <w:rPr>
          <w:rFonts w:ascii="Arial" w:hAnsi="Arial" w:cs="Arial"/>
        </w:rPr>
        <w:t>dining</w:t>
      </w:r>
      <w:proofErr w:type="gramEnd"/>
      <w:r w:rsidRPr="009B37CA">
        <w:rPr>
          <w:rFonts w:ascii="Arial" w:hAnsi="Arial" w:cs="Arial"/>
        </w:rPr>
        <w:t xml:space="preserve"> room and bar staff.</w:t>
      </w: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During its life as a working parliament, this building was the setting for many of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Australia’s major political events. Debates that influenced the future of the nation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 xml:space="preserve">took place here, key decisions were taken, </w:t>
      </w:r>
      <w:proofErr w:type="gramStart"/>
      <w:r w:rsidRPr="009B37CA">
        <w:rPr>
          <w:rFonts w:ascii="Arial" w:hAnsi="Arial" w:cs="Arial"/>
        </w:rPr>
        <w:t>political</w:t>
      </w:r>
      <w:proofErr w:type="gramEnd"/>
      <w:r w:rsidRPr="009B37CA">
        <w:rPr>
          <w:rFonts w:ascii="Arial" w:hAnsi="Arial" w:cs="Arial"/>
        </w:rPr>
        <w:t xml:space="preserve"> careers were made and ended.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In the 61 years that the building served as Parliament House, there were many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changes in the size and nature of the Federal Parliament. During this time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House of Representatives grew from 76 to 148 members and the Senate from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36 to 76 members. In 1927, only the Speaker of the House, the President of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Senate, the Prime Minister, the Leader of the Government in the Senate and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ministers had their own offices.</w:t>
      </w: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By the 1980s, the building had exceeded its capacity with almost 3000 people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crowded into a building originally intended for a few hundred. Members and senators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had offices of their own, most of them tiny and overcrowded.</w:t>
      </w: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A new and permanent Parliament House was completed in 1988. In June of that year,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members sat for the last time after 61 years in the ol</w:t>
      </w:r>
      <w:r w:rsidR="005B0064">
        <w:rPr>
          <w:rFonts w:ascii="Arial" w:hAnsi="Arial" w:cs="Arial"/>
        </w:rPr>
        <w:t xml:space="preserve">d building. Today, the building </w:t>
      </w:r>
      <w:r w:rsidRPr="009B37CA">
        <w:rPr>
          <w:rFonts w:ascii="Arial" w:hAnsi="Arial" w:cs="Arial"/>
        </w:rPr>
        <w:t>is listed on the National Heritage Register and is home to the Museum of Australian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Democracy—a museum that tells the story of Australia’s democracy, including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history and heritage of the building.</w:t>
      </w:r>
    </w:p>
    <w:p w:rsidR="009B37CA" w:rsidRDefault="009B37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37CA" w:rsidRPr="009B37CA" w:rsidRDefault="009B37CA" w:rsidP="007D1EC8">
      <w:pPr>
        <w:pStyle w:val="H2"/>
      </w:pPr>
      <w:bookmarkStart w:id="4" w:name="_Toc331421559"/>
      <w:r w:rsidRPr="009B37CA">
        <w:lastRenderedPageBreak/>
        <w:t>Design and Construction</w:t>
      </w:r>
      <w:bookmarkEnd w:id="4"/>
    </w:p>
    <w:p w:rsidR="007D1EC8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 Old Parliament House building was designed by Chief Commonwealth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Government architect John Smith Murdoch. It is the last and best known of his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government buildings. His designs can be found all over Australia from the Perth GPO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to the South Brisbane Telephone Exchange. He designed East and West Blocks in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Canberra to complement the building. The foundations of West Block were raised so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roofs of all three buildings were at the same height.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Murdoch’s design for the building was thought to be very modern for its time. Square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and circular motifs were features of the architecture and furniture throughout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building. These appear on balcony rails, floor design, light fittings and the gold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decoration on the glass doors. The building is filled with natural light from windows,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skylights and light wells. Gardens and courtyards offer places for recreation or quiet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thought. Covered walkways surround and link parts of the building.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 three storey building is planned around the two legislative or law-making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Chambers—the House of Representatives and the Senate. The legislative section at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front includes party meeting rooms and offices as well as the Chambers.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recreational areas, located at the back of the building, comprise the dining room and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bar. Press offices occupy most of the upper floor, while offices, kitchens, plant rooms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and storage are located on the lower floor.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Construction started in 1923 and workers and building materials came from all parts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of Australia. Timber from nearly every State was used inside to reflect the federal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nature of the building. Bricks came from nearby Yarralumla brickworks, transported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to the site by light rail. The cost of the building and the furnishings was more than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£600 000—almost three times the original estimate.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There were many changes and additions over the years as the number of members,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senators, staff and journalists increased. Windows</w:t>
      </w:r>
      <w:r w:rsidR="005B0064">
        <w:rPr>
          <w:rFonts w:ascii="Arial" w:hAnsi="Arial" w:cs="Arial"/>
        </w:rPr>
        <w:t xml:space="preserve"> were blocked off and </w:t>
      </w:r>
      <w:proofErr w:type="spellStart"/>
      <w:r w:rsidR="005B0064">
        <w:rPr>
          <w:rFonts w:ascii="Arial" w:hAnsi="Arial" w:cs="Arial"/>
        </w:rPr>
        <w:t>verandahs</w:t>
      </w:r>
      <w:proofErr w:type="spellEnd"/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glassed in. Extensions changed the shape of the building, in particular those to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sides and front of the building from the 1940s to the 1970s.</w:t>
      </w:r>
    </w:p>
    <w:p w:rsidR="009B37CA" w:rsidRDefault="009B37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37CA" w:rsidRDefault="009B37CA" w:rsidP="007D1EC8">
      <w:pPr>
        <w:pStyle w:val="H2"/>
      </w:pPr>
      <w:bookmarkStart w:id="5" w:name="_Toc331421560"/>
      <w:r w:rsidRPr="009B37CA">
        <w:lastRenderedPageBreak/>
        <w:t>The House of Representatives Chamber</w:t>
      </w:r>
      <w:bookmarkEnd w:id="5"/>
    </w:p>
    <w:p w:rsidR="007D1EC8" w:rsidRDefault="007D1EC8" w:rsidP="009B37CA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6"/>
        </w:rPr>
      </w:pPr>
    </w:p>
    <w:p w:rsidR="005B0064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 House of Representatives is the place where Australia’s governments are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formed by the majority party or coalition of parties. Major decisions were made in</w:t>
      </w:r>
      <w:r w:rsidR="005B0064">
        <w:rPr>
          <w:rFonts w:ascii="Arial" w:hAnsi="Arial" w:cs="Arial"/>
        </w:rPr>
        <w:t xml:space="preserve"> this Chamber that </w:t>
      </w:r>
      <w:r w:rsidR="005B0064" w:rsidRPr="009B37CA">
        <w:rPr>
          <w:rFonts w:ascii="Arial" w:hAnsi="Arial" w:cs="Arial"/>
        </w:rPr>
        <w:t>continues</w:t>
      </w:r>
      <w:r w:rsidRPr="009B37CA">
        <w:rPr>
          <w:rFonts w:ascii="Arial" w:hAnsi="Arial" w:cs="Arial"/>
        </w:rPr>
        <w:t xml:space="preserve"> to affect our lives today. It was the scene of debate and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argument, regulated by rules known as ‘Standing Orders’. The Speaker, who sat in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carved chair at the head of the centre table, was in charge of the debate.</w:t>
      </w:r>
    </w:p>
    <w:p w:rsidR="007D1EC8" w:rsidRPr="009B37CA" w:rsidRDefault="005B0064" w:rsidP="009B37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Government members sat on the Speaker’s right and Opposition members to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left. The Prime Minister and Leader of the Opposition sat at the central table facing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each other, while ministers and senior members of the Opposition sat behind them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on the front benches. The backbenchers initially had no offices of their own in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building. They worked at the desk in front of them and in their party rooms, and kept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their papers in the lockable drawer under their seats. Hansard reporters were seated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at the central table on the Opposition side. They recorded by hand, and later by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machine, all parliamentary sessions, except for some secret meetings held during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Second World War.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 xml:space="preserve">Many remarkable characters have sat in the Chamber. The fiery </w:t>
      </w:r>
      <w:proofErr w:type="spellStart"/>
      <w:r w:rsidRPr="009B37CA">
        <w:rPr>
          <w:rFonts w:ascii="Arial" w:hAnsi="Arial" w:cs="Arial"/>
        </w:rPr>
        <w:t>Labor</w:t>
      </w:r>
      <w:proofErr w:type="spellEnd"/>
      <w:r w:rsidRPr="009B37CA">
        <w:rPr>
          <w:rFonts w:ascii="Arial" w:hAnsi="Arial" w:cs="Arial"/>
        </w:rPr>
        <w:t xml:space="preserve"> politician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Eddie Ward holds the record for 15 suspensions from the House of Representatives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for misconduct. Billy Hughes was the longest serving member. Prime Minister from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1915–23, Hughes was one of the original members of the Federal Parliament in 1901.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He served until 1952, when he died in office at the age of 90.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Some major turning points in Australian history have been announced and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debated in this room. In the early 1950s, the Chamber saw passionate debates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when Robert Menzies argued for the banning of the Communist Party of Australia.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constitutional amendment to give the Commonwealth power to legislate for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Aboriginal people was debated in 1967 and overwhelmingly supported when it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was put to the people in a referendum. In 1975, Malcolm Fraser told the House of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Representatives that the Governor</w:t>
      </w:r>
      <w:r w:rsidRPr="009B37CA">
        <w:rPr>
          <w:rFonts w:ascii="Arial" w:eastAsia="MS Gothic" w:hAnsi="Arial" w:cs="Arial" w:hint="eastAsia"/>
        </w:rPr>
        <w:t>‑</w:t>
      </w:r>
      <w:r w:rsidRPr="009B37CA">
        <w:rPr>
          <w:rFonts w:ascii="Arial" w:hAnsi="Arial" w:cs="Arial"/>
        </w:rPr>
        <w:t>General had dismissed the Whitlam Government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and appointed him Caretaker Prime Minister.</w:t>
      </w:r>
    </w:p>
    <w:p w:rsidR="009B37CA" w:rsidRDefault="009B37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37CA" w:rsidRPr="009B37CA" w:rsidRDefault="009B37CA" w:rsidP="007D1EC8">
      <w:pPr>
        <w:pStyle w:val="H2"/>
      </w:pPr>
      <w:bookmarkStart w:id="6" w:name="_Toc331421561"/>
      <w:r w:rsidRPr="009B37CA">
        <w:lastRenderedPageBreak/>
        <w:t>The Senate Chamber</w:t>
      </w:r>
      <w:bookmarkEnd w:id="6"/>
    </w:p>
    <w:p w:rsidR="007D1EC8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 Senate was established to give an equal say to each original Australian State,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with the smaller States having the same number of senators as the larger ones.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This was a crucial part of the Federation agreement. In time, senators’ loyalty to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their party became more important than State loyalties. Since 1949, proportional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representation has made it easier for minor parties to win seats in the Senate than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in the House of Representatives. Debate in the Senate is controlled by the President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of the Senate who, like the Speaker of the House, sits in a prominent position in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Chamber.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While the Government is formed by the party which holds a majority in the House of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Representatives, it may not necessarily have a majorit</w:t>
      </w:r>
      <w:r w:rsidR="005B0064">
        <w:rPr>
          <w:rFonts w:ascii="Arial" w:hAnsi="Arial" w:cs="Arial"/>
        </w:rPr>
        <w:t xml:space="preserve">y in the Senate. The Senate has </w:t>
      </w:r>
      <w:r w:rsidRPr="009B37CA">
        <w:rPr>
          <w:rFonts w:ascii="Arial" w:hAnsi="Arial" w:cs="Arial"/>
        </w:rPr>
        <w:t>almost equal power to the House of Representatives, with the important exception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that it cannot introduce or amend money bills. These bills are the means by which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Government obtains funds (often referred to as supply) for its administration.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However the Senate can reject or refuse to pass such bills. In 1975, the Senate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demonstrated this power when it refused to pass the supply bills, triggering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constitutional crisis that led to the dismissal of the Whitlam Government.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 Senate Chamber was the place where parliaments were opened—usually after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 federal election. On these occasions, members of the House of Representatives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would be summoned to walk across King’s Hall to join the senators to hear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Governor-General or the Monarch declare the new Parliament in session. Queen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Elizabeth II performed this function in 1954, 1974 and 1977.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Although some senators may be ministers, the Prime Minister must be a member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of the House of Representatives. Only once in the history of the Federal Parliament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has the Prime Minister come from the Senate. This happened in 1968 when Senator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John Gorton was elected leader of the Liberal Party following the death by drowning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of Prime Minister Harold Holt. Gorton then resigned his Senate seat and won Holt’s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vacant House of Representatives’ seat of Higgins.</w:t>
      </w:r>
    </w:p>
    <w:p w:rsidR="009B37CA" w:rsidRDefault="009B37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37CA" w:rsidRPr="009B37CA" w:rsidRDefault="009B37CA" w:rsidP="007D1EC8">
      <w:pPr>
        <w:pStyle w:val="H2"/>
      </w:pPr>
      <w:bookmarkStart w:id="7" w:name="_Toc331421562"/>
      <w:r w:rsidRPr="009B37CA">
        <w:lastRenderedPageBreak/>
        <w:t>The Cabinet Room</w:t>
      </w:r>
      <w:bookmarkEnd w:id="7"/>
    </w:p>
    <w:p w:rsidR="007D1EC8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Cabinet is the group of senior ministers led by the Prime Minister who meet to make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most of the major decisions of government. Cabinet meetings are confidential and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secret. Even new governments are not allowed to see the records of a previous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government’s meetings, as records are not released for at least thirty years. In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Cabinet Room, members of the Government can argue and disagree, but when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decisions are debated openly in Parliament, the Government presents a united voice.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 xml:space="preserve">In 1973, the Cabinet Room was enlarged, taking in the former </w:t>
      </w:r>
      <w:proofErr w:type="spellStart"/>
      <w:r w:rsidRPr="009B37CA">
        <w:rPr>
          <w:rFonts w:ascii="Arial" w:hAnsi="Arial" w:cs="Arial"/>
        </w:rPr>
        <w:t>verandah</w:t>
      </w:r>
      <w:proofErr w:type="spellEnd"/>
      <w:r w:rsidRPr="009B37CA">
        <w:rPr>
          <w:rFonts w:ascii="Arial" w:hAnsi="Arial" w:cs="Arial"/>
        </w:rPr>
        <w:t>. The original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small Cabinet table with seating for 10 to 12 ministers was replaced. The new larger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table accommodated all 27 ministers of Gough Whitlam’s Cabinet (1972–75). Thick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doors were installed in an attempt to make the Cabinet Room totally soundproof.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 xml:space="preserve">Small tables in the corners were used by Cabinet </w:t>
      </w:r>
      <w:proofErr w:type="spellStart"/>
      <w:r w:rsidRPr="009B37CA">
        <w:rPr>
          <w:rFonts w:ascii="Arial" w:hAnsi="Arial" w:cs="Arial"/>
        </w:rPr>
        <w:t>notetakers</w:t>
      </w:r>
      <w:proofErr w:type="spellEnd"/>
      <w:r w:rsidRPr="009B37CA">
        <w:rPr>
          <w:rFonts w:ascii="Arial" w:hAnsi="Arial" w:cs="Arial"/>
        </w:rPr>
        <w:t>—senior public servants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 xml:space="preserve">who recorded Cabinet discussions and decisions. The </w:t>
      </w:r>
      <w:proofErr w:type="spellStart"/>
      <w:r w:rsidRPr="009B37CA">
        <w:rPr>
          <w:rFonts w:ascii="Arial" w:hAnsi="Arial" w:cs="Arial"/>
        </w:rPr>
        <w:t>notetakers</w:t>
      </w:r>
      <w:proofErr w:type="spellEnd"/>
      <w:r w:rsidRPr="009B37CA">
        <w:rPr>
          <w:rFonts w:ascii="Arial" w:hAnsi="Arial" w:cs="Arial"/>
        </w:rPr>
        <w:t xml:space="preserve"> began their work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in 1940 during the first Menzies Government. Records of Cabinet decisions before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that time were generally poor or undocumented. White buttons on the edge of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table were used to call an attendant, usually to take a message from a minister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to someone in their office or department. A wall safe was used to store Cabinet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submissions and other highly confidential papers.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In the early years, there were persistent rumours about eavesdropping through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ceiling. The culprits were assumed to be journalists, whose offices were just above,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although this was never proved. The Press was much more likely to hear what was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happening directly from members of Cabinet. When the Cabinet Room was extended,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temporary Press offices on the roof above were removed. In later years, the room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was also checked regularly for electronic listening devices.</w:t>
      </w:r>
    </w:p>
    <w:p w:rsidR="009B37CA" w:rsidRDefault="009B37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37CA" w:rsidRPr="009B37CA" w:rsidRDefault="009B37CA" w:rsidP="007D1EC8">
      <w:pPr>
        <w:pStyle w:val="H2"/>
      </w:pPr>
      <w:bookmarkStart w:id="8" w:name="_Toc331421563"/>
      <w:r w:rsidRPr="009B37CA">
        <w:lastRenderedPageBreak/>
        <w:t>The Gardens</w:t>
      </w:r>
      <w:bookmarkEnd w:id="8"/>
    </w:p>
    <w:p w:rsidR="007D1EC8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Sometimes even politicians need to get away from people and politics. The gardens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on either side of the building gave them the chance to do that. The gardens were for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exclusive use of members and senators, although parliamentary staff also had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access to them at certain times. Surrounding cypress hedges, planted around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edge of the gardens, acted as a wind break and made the gardens feel more private.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parliamentary gardens were central to architect John Smith Murdoch’s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vision for the building. Parliamentarians wanted private gardens, as they had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enjoyed the attractive gardens of the State Parliament House in Melbourne. Once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Old Parliament House gardens had grown, they became a focal point for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formal and informal gatherings, sporting activities, recreation and relaxation.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 xml:space="preserve">sporting facilities included tennis courts, a bowling </w:t>
      </w:r>
      <w:r w:rsidR="005B0064">
        <w:rPr>
          <w:rFonts w:ascii="Arial" w:hAnsi="Arial" w:cs="Arial"/>
        </w:rPr>
        <w:t xml:space="preserve">green, cricket pitch and later, </w:t>
      </w:r>
      <w:r w:rsidRPr="009B37CA">
        <w:rPr>
          <w:rFonts w:ascii="Arial" w:hAnsi="Arial" w:cs="Arial"/>
        </w:rPr>
        <w:t>squash courts.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 gardens were used for formal events associated with royal visits and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opening of Parliament. Some politicians used the gardens to launch new policies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and initiatives, and journalists using the gardens as a backdrop for television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programs. Others thought of creative uses for the gardens. One politician set up his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beehives there and used the jars of honey as peace offerings to members of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opposing parties.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 gardens also provided floral decoration for offices and the dining rooms.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harmony created by John Smith Murdoch between the building and its unpretentious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gardens was recognised when they were listed on the Register of the National Estate.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Register cites the importance of the gardens as ‘expressing their history in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plantings, sports facilities, modest features and layout patterns’. When Parliament left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in 1988, the National Capital Authority took over the management of the gardens. In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2002, the gardens were refurbished with a fresh design and upgraded amenities.</w:t>
      </w:r>
    </w:p>
    <w:p w:rsidR="009B37CA" w:rsidRDefault="009B37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D1EC8" w:rsidRDefault="009B37CA" w:rsidP="007D1EC8">
      <w:pPr>
        <w:pStyle w:val="H1"/>
      </w:pPr>
      <w:bookmarkStart w:id="9" w:name="_Toc331421564"/>
      <w:r w:rsidRPr="009B37CA">
        <w:lastRenderedPageBreak/>
        <w:t>The events</w:t>
      </w:r>
      <w:bookmarkEnd w:id="9"/>
    </w:p>
    <w:p w:rsidR="009B37CA" w:rsidRPr="009B37CA" w:rsidRDefault="009B37CA" w:rsidP="007D1EC8">
      <w:pPr>
        <w:pStyle w:val="H2"/>
      </w:pPr>
      <w:bookmarkStart w:id="10" w:name="_Toc331421565"/>
      <w:r w:rsidRPr="009B37CA">
        <w:t>Old Parliament House opens in 1927</w:t>
      </w:r>
      <w:bookmarkEnd w:id="10"/>
    </w:p>
    <w:p w:rsidR="007D1EC8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On 9 May 1927, thousands of people flocked to Canberra for the official opening of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new Parliament House by His Royal Highness the Duke of York. Invited guests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included parliamentarians and their wives, State premiers, judges, bishops, lord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mayors, diplomats and senior military officials. They were joined by 15 000 members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of the general public, many of whom camped in tents and cars on the paddocks that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surrounded the building.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 Duke and Duchess of York arrived in a horse-drawn carriage to a noisy welcome.</w:t>
      </w: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 tooting of 1500 motor cars added to the cheering and hand clapping. After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being greeted by the Governor-General, his wife Lady Stonehaven, Prime Minister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Stanley Melbourne Bruce and Mrs Bruce, the royal couple walked up the carpeted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steps to join Dame Nellie Melba to sing the national anthem ‘God Save the King’.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Unfortunately the main chorus was drowned out as an RAAF squadron flew overhead.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Prime Minister Bruce, in top hat and tails, delivered the official welcoming speech.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Duke, in the dress uniform of an admiral, spoke of the opening as ‘a landmark in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Australia’s history and the birth of a greater awareness of Australia’s destiny as one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of the great self-governing units of the British Empire’.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At 11.00 am, the Duke formally opened the front doors of the building with a large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 xml:space="preserve">15 carat gold key, </w:t>
      </w:r>
      <w:proofErr w:type="gramStart"/>
      <w:r w:rsidRPr="009B37CA">
        <w:rPr>
          <w:rFonts w:ascii="Arial" w:hAnsi="Arial" w:cs="Arial"/>
        </w:rPr>
        <w:t>then</w:t>
      </w:r>
      <w:proofErr w:type="gramEnd"/>
      <w:r w:rsidRPr="009B37CA">
        <w:rPr>
          <w:rFonts w:ascii="Arial" w:hAnsi="Arial" w:cs="Arial"/>
        </w:rPr>
        <w:t xml:space="preserve"> proceeded to the Senate Chamber for more speeches. In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 final ceremony, the Duke unveiled the statue of his father, King George V, which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stands today in King’s Hall. The official party then attended a lunch of turtle soup,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poached salmon and Canberra pudding. At the time, alcohol was not allowed in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national capital, so the drink of the day was non-alcoholic fruit punch. The crowd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 xml:space="preserve">outside dined on </w:t>
      </w:r>
      <w:proofErr w:type="spellStart"/>
      <w:r w:rsidRPr="009B37CA">
        <w:rPr>
          <w:rFonts w:ascii="Arial" w:hAnsi="Arial" w:cs="Arial"/>
        </w:rPr>
        <w:t>Sargeants</w:t>
      </w:r>
      <w:proofErr w:type="spellEnd"/>
      <w:r w:rsidRPr="009B37CA">
        <w:rPr>
          <w:rFonts w:ascii="Arial" w:hAnsi="Arial" w:cs="Arial"/>
        </w:rPr>
        <w:t xml:space="preserve"> meat pies and scones. However, the organisers had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 xml:space="preserve">over–catered and two </w:t>
      </w:r>
      <w:proofErr w:type="spellStart"/>
      <w:r w:rsidRPr="009B37CA">
        <w:rPr>
          <w:rFonts w:ascii="Arial" w:hAnsi="Arial" w:cs="Arial"/>
        </w:rPr>
        <w:t>truck loads</w:t>
      </w:r>
      <w:proofErr w:type="spellEnd"/>
      <w:r w:rsidRPr="009B37CA">
        <w:rPr>
          <w:rFonts w:ascii="Arial" w:hAnsi="Arial" w:cs="Arial"/>
        </w:rPr>
        <w:t xml:space="preserve"> of meat pies, sausage rolls, prawns and fish had to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be buried at the nearby Queanbeyan tip!</w:t>
      </w:r>
    </w:p>
    <w:p w:rsidR="005B0064" w:rsidRDefault="005B0064">
      <w:pPr>
        <w:rPr>
          <w:rFonts w:ascii="Arial" w:hAnsi="Arial" w:cs="Arial"/>
        </w:rPr>
      </w:pPr>
      <w:r>
        <w:rPr>
          <w:b/>
          <w:bCs/>
        </w:rPr>
        <w:br w:type="page"/>
      </w:r>
    </w:p>
    <w:p w:rsidR="009B37CA" w:rsidRPr="009B37CA" w:rsidRDefault="009B37CA" w:rsidP="007D1EC8">
      <w:pPr>
        <w:pStyle w:val="H2"/>
      </w:pPr>
      <w:bookmarkStart w:id="11" w:name="_Toc331421566"/>
      <w:r w:rsidRPr="009B37CA">
        <w:lastRenderedPageBreak/>
        <w:t>The Second World War 1939–45</w:t>
      </w:r>
      <w:bookmarkEnd w:id="11"/>
    </w:p>
    <w:p w:rsidR="007D1EC8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 years 1939–45 marked a volatile period for the House of Representatives. In</w:t>
      </w: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September 1939, when it was Prime Minister Ro</w:t>
      </w:r>
      <w:r w:rsidR="007D1EC8">
        <w:rPr>
          <w:rFonts w:ascii="Arial" w:hAnsi="Arial" w:cs="Arial"/>
        </w:rPr>
        <w:t xml:space="preserve">bert Menzies’ ‘melancholy duty’ </w:t>
      </w:r>
      <w:r w:rsidRPr="009B37CA">
        <w:rPr>
          <w:rFonts w:ascii="Arial" w:hAnsi="Arial" w:cs="Arial"/>
        </w:rPr>
        <w:t>to announce that Australia was at war, there was d</w:t>
      </w:r>
      <w:r w:rsidR="007D1EC8">
        <w:rPr>
          <w:rFonts w:ascii="Arial" w:hAnsi="Arial" w:cs="Arial"/>
        </w:rPr>
        <w:t xml:space="preserve">isunity in his United Australia </w:t>
      </w:r>
      <w:r w:rsidRPr="009B37CA">
        <w:rPr>
          <w:rFonts w:ascii="Arial" w:hAnsi="Arial" w:cs="Arial"/>
        </w:rPr>
        <w:t>Party. By 1941, he had resigned and Country Pa</w:t>
      </w:r>
      <w:r w:rsidR="007D1EC8">
        <w:rPr>
          <w:rFonts w:ascii="Arial" w:hAnsi="Arial" w:cs="Arial"/>
        </w:rPr>
        <w:t xml:space="preserve">rty leader Arthur Fadden became </w:t>
      </w:r>
      <w:r w:rsidRPr="009B37CA">
        <w:rPr>
          <w:rFonts w:ascii="Arial" w:hAnsi="Arial" w:cs="Arial"/>
        </w:rPr>
        <w:t>Prime Minister. Fadden led for just 40 days bef</w:t>
      </w:r>
      <w:r w:rsidR="007D1EC8">
        <w:rPr>
          <w:rFonts w:ascii="Arial" w:hAnsi="Arial" w:cs="Arial"/>
        </w:rPr>
        <w:t xml:space="preserve">ore his Government was defeated </w:t>
      </w:r>
      <w:r w:rsidRPr="009B37CA">
        <w:rPr>
          <w:rFonts w:ascii="Arial" w:hAnsi="Arial" w:cs="Arial"/>
        </w:rPr>
        <w:t xml:space="preserve">on the floor of the House. It was </w:t>
      </w:r>
      <w:proofErr w:type="spellStart"/>
      <w:r w:rsidRPr="009B37CA">
        <w:rPr>
          <w:rFonts w:ascii="Arial" w:hAnsi="Arial" w:cs="Arial"/>
        </w:rPr>
        <w:t>Labor</w:t>
      </w:r>
      <w:proofErr w:type="spellEnd"/>
      <w:r w:rsidRPr="009B37CA">
        <w:rPr>
          <w:rFonts w:ascii="Arial" w:hAnsi="Arial" w:cs="Arial"/>
        </w:rPr>
        <w:t xml:space="preserve"> Prime Mini</w:t>
      </w:r>
      <w:r w:rsidR="007D1EC8">
        <w:rPr>
          <w:rFonts w:ascii="Arial" w:hAnsi="Arial" w:cs="Arial"/>
        </w:rPr>
        <w:t xml:space="preserve">ster, John Curtin, who declared </w:t>
      </w:r>
      <w:r w:rsidRPr="009B37CA">
        <w:rPr>
          <w:rFonts w:ascii="Arial" w:hAnsi="Arial" w:cs="Arial"/>
        </w:rPr>
        <w:t xml:space="preserve">that Australia was at war with Japan in 1941. </w:t>
      </w:r>
      <w:r w:rsidR="007D1EC8">
        <w:rPr>
          <w:rFonts w:ascii="Arial" w:hAnsi="Arial" w:cs="Arial"/>
        </w:rPr>
        <w:t xml:space="preserve">He brought stability to wartime </w:t>
      </w:r>
      <w:r w:rsidRPr="009B37CA">
        <w:rPr>
          <w:rFonts w:ascii="Arial" w:hAnsi="Arial" w:cs="Arial"/>
        </w:rPr>
        <w:t>administration until his death in office in 1945. De</w:t>
      </w:r>
      <w:r w:rsidR="007D1EC8">
        <w:rPr>
          <w:rFonts w:ascii="Arial" w:hAnsi="Arial" w:cs="Arial"/>
        </w:rPr>
        <w:t xml:space="preserve">puty Prime Minister Frank Forde </w:t>
      </w:r>
      <w:r w:rsidRPr="009B37CA">
        <w:rPr>
          <w:rFonts w:ascii="Arial" w:hAnsi="Arial" w:cs="Arial"/>
        </w:rPr>
        <w:t xml:space="preserve">took over for seven days until the </w:t>
      </w:r>
      <w:proofErr w:type="spellStart"/>
      <w:r w:rsidRPr="009B37CA">
        <w:rPr>
          <w:rFonts w:ascii="Arial" w:hAnsi="Arial" w:cs="Arial"/>
        </w:rPr>
        <w:t>Labor</w:t>
      </w:r>
      <w:proofErr w:type="spellEnd"/>
      <w:r w:rsidRPr="009B37CA">
        <w:rPr>
          <w:rFonts w:ascii="Arial" w:hAnsi="Arial" w:cs="Arial"/>
        </w:rPr>
        <w:t xml:space="preserve"> Party electe</w:t>
      </w:r>
      <w:r w:rsidR="007D1EC8">
        <w:rPr>
          <w:rFonts w:ascii="Arial" w:hAnsi="Arial" w:cs="Arial"/>
        </w:rPr>
        <w:t xml:space="preserve">d a new leader. Ben Chifley won </w:t>
      </w:r>
      <w:r w:rsidRPr="009B37CA">
        <w:rPr>
          <w:rFonts w:ascii="Arial" w:hAnsi="Arial" w:cs="Arial"/>
        </w:rPr>
        <w:t>the ballot. He took office just before the War ended in August 1945.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From 1941, the threat of Japanese invasion was very real</w:t>
      </w:r>
      <w:r w:rsidR="007D1EC8">
        <w:rPr>
          <w:rFonts w:ascii="Arial" w:hAnsi="Arial" w:cs="Arial"/>
        </w:rPr>
        <w:t xml:space="preserve"> for Australians. Like the rest </w:t>
      </w:r>
      <w:r w:rsidRPr="009B37CA">
        <w:rPr>
          <w:rFonts w:ascii="Arial" w:hAnsi="Arial" w:cs="Arial"/>
        </w:rPr>
        <w:t xml:space="preserve">of Canberra, the building was blacked out at night. </w:t>
      </w:r>
      <w:r w:rsidR="007D1EC8">
        <w:rPr>
          <w:rFonts w:ascii="Arial" w:hAnsi="Arial" w:cs="Arial"/>
        </w:rPr>
        <w:t xml:space="preserve">White lines were painted on the </w:t>
      </w:r>
      <w:r w:rsidRPr="009B37CA">
        <w:rPr>
          <w:rFonts w:ascii="Arial" w:hAnsi="Arial" w:cs="Arial"/>
        </w:rPr>
        <w:t>footpaths to direct members back to their hotels after dark.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In 1942, US General Douglas MacArthur visited Old</w:t>
      </w:r>
      <w:r w:rsidR="007D1EC8">
        <w:rPr>
          <w:rFonts w:ascii="Arial" w:hAnsi="Arial" w:cs="Arial"/>
        </w:rPr>
        <w:t xml:space="preserve"> Parliament House shortly after </w:t>
      </w:r>
      <w:r w:rsidRPr="009B37CA">
        <w:rPr>
          <w:rFonts w:ascii="Arial" w:hAnsi="Arial" w:cs="Arial"/>
        </w:rPr>
        <w:t xml:space="preserve">he was appointed Supreme Allied Commander in </w:t>
      </w:r>
      <w:r w:rsidR="007D1EC8">
        <w:rPr>
          <w:rFonts w:ascii="Arial" w:hAnsi="Arial" w:cs="Arial"/>
        </w:rPr>
        <w:t xml:space="preserve">the South West Pacific. Wearing </w:t>
      </w:r>
      <w:r w:rsidRPr="009B37CA">
        <w:rPr>
          <w:rFonts w:ascii="Arial" w:hAnsi="Arial" w:cs="Arial"/>
        </w:rPr>
        <w:t>his trademark custom-made silk uniform, he was greeted on the front steps by the</w:t>
      </w: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Minister for the Army, Frank Forde and taken to the Prime</w:t>
      </w:r>
      <w:r w:rsidR="007D1EC8">
        <w:rPr>
          <w:rFonts w:ascii="Arial" w:hAnsi="Arial" w:cs="Arial"/>
        </w:rPr>
        <w:t xml:space="preserve"> Minister’s Suite. At his first </w:t>
      </w:r>
      <w:r w:rsidRPr="009B37CA">
        <w:rPr>
          <w:rFonts w:ascii="Arial" w:hAnsi="Arial" w:cs="Arial"/>
        </w:rPr>
        <w:t>meeting, MacArthur put his arm around Prime Minister Curtin’s shoulders and said,</w:t>
      </w: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‘We two, you and I, will see this thing through together. We can do it and we will do it.</w:t>
      </w: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You take care of the rear and I will handle the front.’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7D1EC8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 lives of Australians were regulated so that res</w:t>
      </w:r>
      <w:r w:rsidR="007D1EC8">
        <w:rPr>
          <w:rFonts w:ascii="Arial" w:hAnsi="Arial" w:cs="Arial"/>
        </w:rPr>
        <w:t xml:space="preserve">ources could be directed to the </w:t>
      </w:r>
      <w:r w:rsidRPr="009B37CA">
        <w:rPr>
          <w:rFonts w:ascii="Arial" w:hAnsi="Arial" w:cs="Arial"/>
        </w:rPr>
        <w:t>war effort. The Federal Government introduced iden</w:t>
      </w:r>
      <w:r w:rsidR="007D1EC8">
        <w:rPr>
          <w:rFonts w:ascii="Arial" w:hAnsi="Arial" w:cs="Arial"/>
        </w:rPr>
        <w:t xml:space="preserve">tification cards as well as the </w:t>
      </w:r>
      <w:r w:rsidRPr="009B37CA">
        <w:rPr>
          <w:rFonts w:ascii="Arial" w:hAnsi="Arial" w:cs="Arial"/>
        </w:rPr>
        <w:t>rationing of petrol, food and clothing. Over 900 0</w:t>
      </w:r>
      <w:r w:rsidR="007D1EC8">
        <w:rPr>
          <w:rFonts w:ascii="Arial" w:hAnsi="Arial" w:cs="Arial"/>
        </w:rPr>
        <w:t xml:space="preserve">00 men and women were placed in </w:t>
      </w:r>
      <w:r w:rsidRPr="009B37CA">
        <w:rPr>
          <w:rFonts w:ascii="Arial" w:hAnsi="Arial" w:cs="Arial"/>
        </w:rPr>
        <w:t>jobs to support the war effort. Other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regulations included conscription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for home service and restriction of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sporting events.</w:t>
      </w:r>
      <w:r w:rsidR="007D1EC8">
        <w:rPr>
          <w:rFonts w:ascii="Arial" w:hAnsi="Arial" w:cs="Arial"/>
        </w:rPr>
        <w:t xml:space="preserve"> </w:t>
      </w:r>
    </w:p>
    <w:p w:rsidR="007D1EC8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Wartime also changed the role of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women. With men away fighting,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women took over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traditionally male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jobs. This shift was reflected in politics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as well. In 1943, Senator Dorothy</w:t>
      </w: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Tangney and Dame Enid Lyons MP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became the first women to be elected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to the Federal Parliament.</w:t>
      </w:r>
    </w:p>
    <w:p w:rsidR="009B37CA" w:rsidRDefault="009B37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37CA" w:rsidRPr="009B37CA" w:rsidRDefault="009B37CA" w:rsidP="007D1EC8">
      <w:pPr>
        <w:pStyle w:val="H2"/>
      </w:pPr>
      <w:bookmarkStart w:id="12" w:name="_Toc331421567"/>
      <w:r w:rsidRPr="009B37CA">
        <w:lastRenderedPageBreak/>
        <w:t>The Federal Election 1949</w:t>
      </w:r>
      <w:bookmarkEnd w:id="12"/>
    </w:p>
    <w:p w:rsidR="007D1EC8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 xml:space="preserve">In 1949 Australians went to the polls to elect a new </w:t>
      </w:r>
      <w:r w:rsidR="007D1EC8">
        <w:rPr>
          <w:rFonts w:ascii="Arial" w:hAnsi="Arial" w:cs="Arial"/>
        </w:rPr>
        <w:t xml:space="preserve">federal government. Voters knew </w:t>
      </w:r>
      <w:r w:rsidRPr="009B37CA">
        <w:rPr>
          <w:rFonts w:ascii="Arial" w:hAnsi="Arial" w:cs="Arial"/>
        </w:rPr>
        <w:t>at the time that their choice would have a big influence on their country’s future.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 xml:space="preserve">Should they choose the </w:t>
      </w:r>
      <w:proofErr w:type="spellStart"/>
      <w:r w:rsidRPr="009B37CA">
        <w:rPr>
          <w:rFonts w:ascii="Arial" w:hAnsi="Arial" w:cs="Arial"/>
        </w:rPr>
        <w:t>Labor</w:t>
      </w:r>
      <w:proofErr w:type="spellEnd"/>
      <w:r w:rsidRPr="009B37CA">
        <w:rPr>
          <w:rFonts w:ascii="Arial" w:hAnsi="Arial" w:cs="Arial"/>
        </w:rPr>
        <w:t xml:space="preserve"> Government, which had taken them through most of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War and into peacetime? Or should they strike out in a new direction?</w:t>
      </w:r>
    </w:p>
    <w:p w:rsidR="007D1EC8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Two political parties competed for popular su</w:t>
      </w:r>
      <w:r w:rsidR="007D1EC8">
        <w:rPr>
          <w:rFonts w:ascii="Arial" w:hAnsi="Arial" w:cs="Arial"/>
        </w:rPr>
        <w:t xml:space="preserve">pport and presented voters with </w:t>
      </w:r>
      <w:r w:rsidRPr="009B37CA">
        <w:rPr>
          <w:rFonts w:ascii="Arial" w:hAnsi="Arial" w:cs="Arial"/>
        </w:rPr>
        <w:t xml:space="preserve">sharply contrasting policies. The Australian </w:t>
      </w:r>
      <w:proofErr w:type="spellStart"/>
      <w:r w:rsidRPr="009B37CA">
        <w:rPr>
          <w:rFonts w:ascii="Arial" w:hAnsi="Arial" w:cs="Arial"/>
        </w:rPr>
        <w:t>Labor</w:t>
      </w:r>
      <w:proofErr w:type="spellEnd"/>
      <w:r w:rsidRPr="009B37CA">
        <w:rPr>
          <w:rFonts w:ascii="Arial" w:hAnsi="Arial" w:cs="Arial"/>
        </w:rPr>
        <w:t xml:space="preserve"> Party, led by Ben Chifley,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emphasised a commitment to the less fortunate section of the community and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believed governments had a vital role to play in creating the right conditions for full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employment, provision of housing and looking after the health needs of people.</w:t>
      </w:r>
    </w:p>
    <w:p w:rsidR="007D1EC8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Robert Menzies presented the new Liberal Party as the party of free enterprise. In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coalition with the Country Party, he promised lower taxes, smaller government and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removal of unnecessary controls. The Liberals also promoted themselves as a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party that cared about such social issues as health, education and the welfare of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elderly. Above all they guaranteed the security of individuals and families against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communism and socialism.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Chifley mistakenly believed that voters would recognise Menzies and his colleagues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as yesterday’s men. The Liberal Party introduced a new style of politics with the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recruitment of a publicity firm to help with the campaign. Menzies was portrayed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 xml:space="preserve">as a man of the people, an imaginative and determined leader, </w:t>
      </w:r>
      <w:proofErr w:type="gramStart"/>
      <w:r w:rsidRPr="009B37CA">
        <w:rPr>
          <w:rFonts w:ascii="Arial" w:hAnsi="Arial" w:cs="Arial"/>
        </w:rPr>
        <w:t>the</w:t>
      </w:r>
      <w:proofErr w:type="gramEnd"/>
      <w:r w:rsidRPr="009B37CA">
        <w:rPr>
          <w:rFonts w:ascii="Arial" w:hAnsi="Arial" w:cs="Arial"/>
        </w:rPr>
        <w:t xml:space="preserve"> right man to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lead Australia into the future.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Advertisements drew attention to his virile leadership,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suggesting that Chifley’s approach was tired and his party’s policies old-fashioned.</w:t>
      </w:r>
    </w:p>
    <w:p w:rsidR="007D1EC8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On election night, as the votes reached the tally rooms around Australia, the trend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quickly became clear: the Opposition parties had achieved a huge swing, turning a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40 per cent minority in the House of Representatives into a 60 per cent majority. The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Liberals won 54 seats, the Country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 xml:space="preserve">Party 20, and </w:t>
      </w:r>
      <w:proofErr w:type="spellStart"/>
      <w:r w:rsidRPr="009B37CA">
        <w:rPr>
          <w:rFonts w:ascii="Arial" w:hAnsi="Arial" w:cs="Arial"/>
        </w:rPr>
        <w:t>Labor</w:t>
      </w:r>
      <w:proofErr w:type="spellEnd"/>
      <w:r w:rsidRPr="009B37CA">
        <w:rPr>
          <w:rFonts w:ascii="Arial" w:hAnsi="Arial" w:cs="Arial"/>
        </w:rPr>
        <w:t xml:space="preserve"> 47. The victory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signalled the beginning of a long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period of conservative domination of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Australian federal politics. Menzies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led the Coalition to victory time and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time again, surviving narrowly in 1961but mostly winning by a comfortable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majority. He became Australia’s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longest serving Prime Minister: his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second term lasted 16 years. The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1949 election turned out to be a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landmark in Australian history.</w:t>
      </w:r>
    </w:p>
    <w:p w:rsidR="009B37CA" w:rsidRDefault="009B37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37CA" w:rsidRPr="009B37CA" w:rsidRDefault="009B37CA" w:rsidP="007D1EC8">
      <w:pPr>
        <w:pStyle w:val="H2"/>
      </w:pPr>
      <w:bookmarkStart w:id="13" w:name="_Toc331421568"/>
      <w:r w:rsidRPr="009B37CA">
        <w:lastRenderedPageBreak/>
        <w:t>The Royal Visit 1954</w:t>
      </w:r>
      <w:bookmarkEnd w:id="13"/>
    </w:p>
    <w:p w:rsidR="007D1EC8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Huge crowds turned out to see Queen Elizabeth II</w:t>
      </w:r>
      <w:r w:rsidR="007D1EC8">
        <w:rPr>
          <w:rFonts w:ascii="Arial" w:hAnsi="Arial" w:cs="Arial"/>
        </w:rPr>
        <w:t xml:space="preserve"> and the Duke of Edinburgh when </w:t>
      </w:r>
      <w:r w:rsidRPr="009B37CA">
        <w:rPr>
          <w:rFonts w:ascii="Arial" w:hAnsi="Arial" w:cs="Arial"/>
        </w:rPr>
        <w:t>they toured Australia in 1954. It was Australia’s first visit by a reigning monarch. The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whirlwind eight week tour covered all State capital cities and provincial centres and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delighted the Australian public.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On 15 February 1954, the most significant event of the tour occurred. Her Majesty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opened the third session of the twentieth Federal Parliament. She was the first ruling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sovereign of the British Commonwealth to do so.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 Queen arrived wearing her cream coronation gown embroidered with the floral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emblems of her Commonwealth countries. Before entering the building, the royal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couple stood on the front steps to review 4000 servicemen presenting arms in a royal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salute. As the national anthem God Save the Queen played, 3000 school children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formed an Australian flag and the words ‘Our Queen’.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Thousands of spectators braved wet weather to glimpse the events through a sea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of umbrellas. One of them, Meryl Hunter, recalls the rehearsal for the royal visit: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‘The daughter [Heather Menzies] of one of our more famous prime ministers stood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in for the Queen and we joined in the laughter as she giggled her way through the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ceremony…Some days later we watched the real Queen arrive…in tiara and sash to</w:t>
      </w:r>
      <w:r w:rsidR="007D1EC8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open Parliament.’</w:t>
      </w:r>
    </w:p>
    <w:p w:rsidR="007D1EC8" w:rsidRPr="009B37CA" w:rsidRDefault="007D1EC8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Once in the Senate Chamber, the Queen took her place in the Vice-Regal Chair. She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said it was a joy for her to address the House ‘not as a Queen from far away but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as your Queen and a part of your Parliament’. She then added, ‘I am the first ruling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sovereign to visit Australia, it is clear that the events of today make a piece of history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which fills me with deep pride and the most heartfelt pleasure…’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Although the ceremony lasted only 15 minutes, it had enduring significance for the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people of Australia.</w:t>
      </w:r>
    </w:p>
    <w:p w:rsidR="009B37CA" w:rsidRDefault="009B37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37CA" w:rsidRPr="009B37CA" w:rsidRDefault="009B37CA" w:rsidP="006C4A75">
      <w:pPr>
        <w:pStyle w:val="H2"/>
      </w:pPr>
      <w:bookmarkStart w:id="14" w:name="_Toc331421569"/>
      <w:r w:rsidRPr="009B37CA">
        <w:lastRenderedPageBreak/>
        <w:t>The Dismissal 1975</w:t>
      </w:r>
      <w:bookmarkEnd w:id="14"/>
    </w:p>
    <w:p w:rsidR="006C4A75" w:rsidRDefault="006C4A75" w:rsidP="009B37CA">
      <w:pPr>
        <w:spacing w:after="0" w:line="240" w:lineRule="auto"/>
        <w:rPr>
          <w:rFonts w:ascii="Arial" w:hAnsi="Arial" w:cs="Arial"/>
        </w:rPr>
      </w:pPr>
    </w:p>
    <w:p w:rsidR="006C4A75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On 11 November 1975, the Governor-General S</w:t>
      </w:r>
      <w:r w:rsidR="006C4A75">
        <w:rPr>
          <w:rFonts w:ascii="Arial" w:hAnsi="Arial" w:cs="Arial"/>
        </w:rPr>
        <w:t xml:space="preserve">ir John Kerr met Prime Minister </w:t>
      </w:r>
      <w:r w:rsidRPr="009B37CA">
        <w:rPr>
          <w:rFonts w:ascii="Arial" w:hAnsi="Arial" w:cs="Arial"/>
        </w:rPr>
        <w:t xml:space="preserve">Gough Whitlam in the study at Government House. Kerr handed Whitlam a </w:t>
      </w:r>
      <w:proofErr w:type="spellStart"/>
      <w:r w:rsidRPr="009B37CA">
        <w:rPr>
          <w:rFonts w:ascii="Arial" w:hAnsi="Arial" w:cs="Arial"/>
        </w:rPr>
        <w:t>letterwithdrawing</w:t>
      </w:r>
      <w:proofErr w:type="spellEnd"/>
      <w:r w:rsidRPr="009B37CA">
        <w:rPr>
          <w:rFonts w:ascii="Arial" w:hAnsi="Arial" w:cs="Arial"/>
        </w:rPr>
        <w:t xml:space="preserve"> his commission as Prime Minister. For the first time in Australia’s history,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 governor-general had sacked a prime minister.</w:t>
      </w:r>
      <w:r w:rsidR="006C4A75">
        <w:rPr>
          <w:rFonts w:ascii="Arial" w:hAnsi="Arial" w:cs="Arial"/>
        </w:rPr>
        <w:t xml:space="preserve"> </w:t>
      </w:r>
    </w:p>
    <w:p w:rsidR="006C4A75" w:rsidRDefault="006C4A75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This event, commonly known as the ‘Dismissal’, was the climax of a political crisis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that began on 15 October 1975 when Liberal and National Country Party senators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 xml:space="preserve">voted to defer consideration of the </w:t>
      </w:r>
      <w:proofErr w:type="spellStart"/>
      <w:r w:rsidRPr="009B37CA">
        <w:rPr>
          <w:rFonts w:ascii="Arial" w:hAnsi="Arial" w:cs="Arial"/>
        </w:rPr>
        <w:t>Labor</w:t>
      </w:r>
      <w:proofErr w:type="spellEnd"/>
      <w:r w:rsidRPr="009B37CA">
        <w:rPr>
          <w:rFonts w:ascii="Arial" w:hAnsi="Arial" w:cs="Arial"/>
        </w:rPr>
        <w:t xml:space="preserve"> Government’s money bills. Such bills,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often referred to as supply, are the means by which the government obtains funds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to govern. With supply blocked, the Whitlam Government faced the prospect of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running out of money by the end of November. For four weeks, the Parliament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was deadlocked—neither the Government nor the Opposition would change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their positions.</w:t>
      </w:r>
    </w:p>
    <w:p w:rsidR="006C4A75" w:rsidRPr="009B37CA" w:rsidRDefault="006C4A75" w:rsidP="009B37CA">
      <w:pPr>
        <w:spacing w:after="0" w:line="240" w:lineRule="auto"/>
        <w:rPr>
          <w:rFonts w:ascii="Arial" w:hAnsi="Arial" w:cs="Arial"/>
        </w:rPr>
      </w:pP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On 11 November Kerr intervened, dismissed Whitl</w:t>
      </w:r>
      <w:r w:rsidR="006C4A75">
        <w:rPr>
          <w:rFonts w:ascii="Arial" w:hAnsi="Arial" w:cs="Arial"/>
        </w:rPr>
        <w:t xml:space="preserve">am as Prime Minister and called </w:t>
      </w:r>
      <w:r w:rsidRPr="009B37CA">
        <w:rPr>
          <w:rFonts w:ascii="Arial" w:hAnsi="Arial" w:cs="Arial"/>
        </w:rPr>
        <w:t>upon Malcolm Fraser, the Leader of the Opposition, to form a Caretaker Government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on the condition that he immediately pass supply and call an election. Supply was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passed and both Houses of Parliament were dissolved. The Liberal/National Country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Party Coalition won a landslide victory in the election held on 13 December 1975.</w:t>
      </w:r>
    </w:p>
    <w:p w:rsidR="006C4A75" w:rsidRDefault="006C4A75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Kerr’s decision to sack Whitlam is still surrounded by controversy. There are claims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that he deceived Whitlam and acted against established constitutional conventions.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Others praise Kerr for bringing the crisis to an end and argue that he acted as he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had to. Historians and lawyers will continue to argue over the significance of Kerr’s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actions. This debate raises questions not only about what occurred on 11 November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1975, but also about the future shape of Australia’s system of government, the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powers of Australia’s Head of State, and the meaning of the Australian Constitution.</w:t>
      </w:r>
    </w:p>
    <w:p w:rsidR="009B37CA" w:rsidRDefault="009B37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37CA" w:rsidRPr="009B37CA" w:rsidRDefault="009B37CA" w:rsidP="006C4A75">
      <w:pPr>
        <w:pStyle w:val="H2"/>
      </w:pPr>
      <w:bookmarkStart w:id="15" w:name="_Toc331421570"/>
      <w:r w:rsidRPr="009B37CA">
        <w:lastRenderedPageBreak/>
        <w:t>The National Service Act 1964</w:t>
      </w:r>
      <w:bookmarkEnd w:id="15"/>
    </w:p>
    <w:p w:rsidR="006C4A75" w:rsidRDefault="006C4A75" w:rsidP="009B37CA">
      <w:pPr>
        <w:spacing w:after="0" w:line="240" w:lineRule="auto"/>
        <w:rPr>
          <w:rFonts w:ascii="Arial" w:hAnsi="Arial" w:cs="Arial"/>
        </w:rPr>
      </w:pPr>
    </w:p>
    <w:p w:rsidR="006C4A75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Conscription, or compulsory military service, has been a controversial issue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throughout Australia’s history. The National Service Act 1964 introduced by the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Liberal/Country Party Government divided both Parliament and the country,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particularly when young conscripts were sent soon after to fight in the Vietnam War.</w:t>
      </w:r>
      <w:r w:rsidR="006C4A75">
        <w:rPr>
          <w:rFonts w:ascii="Arial" w:hAnsi="Arial" w:cs="Arial"/>
        </w:rPr>
        <w:t xml:space="preserve"> </w:t>
      </w:r>
    </w:p>
    <w:p w:rsidR="006C4A75" w:rsidRDefault="006C4A75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It was not the first time that a system of conscription was introduced and challenged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in this country. The Universal Service Scheme, instituted by Prime Minister Alfred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Deakin in 1911, lasted until 1929 when it was abolished by the newly-elected</w:t>
      </w:r>
      <w:r w:rsidR="006C4A75">
        <w:rPr>
          <w:rFonts w:ascii="Arial" w:hAnsi="Arial" w:cs="Arial"/>
        </w:rPr>
        <w:t xml:space="preserve"> </w:t>
      </w:r>
      <w:proofErr w:type="spellStart"/>
      <w:r w:rsidRPr="009B37CA">
        <w:rPr>
          <w:rFonts w:ascii="Arial" w:hAnsi="Arial" w:cs="Arial"/>
        </w:rPr>
        <w:t>Labor</w:t>
      </w:r>
      <w:proofErr w:type="spellEnd"/>
      <w:r w:rsidRPr="009B37CA">
        <w:rPr>
          <w:rFonts w:ascii="Arial" w:hAnsi="Arial" w:cs="Arial"/>
        </w:rPr>
        <w:t xml:space="preserve"> Government.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Compulsory military service for duty within Australia was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revived in 1939; soldiers had to serve in defence of Australia and its South-West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Pacific territories. The reintroduction of the National Service Scheme by the Liberal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Government in 1951 was criticised for draining Regular Army finances and manpower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and was discontinued in 1959.</w:t>
      </w:r>
    </w:p>
    <w:p w:rsidR="006C4A75" w:rsidRPr="009B37CA" w:rsidRDefault="006C4A75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Selective National Service was reintroduced in 1964 because the Menzies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Government argued that conscription was necessary to safeguard Australia’s security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against the spread of communism. The issue was fiercely debated in the House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 xml:space="preserve">of Representatives, with the </w:t>
      </w:r>
      <w:proofErr w:type="spellStart"/>
      <w:r w:rsidRPr="009B37CA">
        <w:rPr>
          <w:rFonts w:ascii="Arial" w:hAnsi="Arial" w:cs="Arial"/>
        </w:rPr>
        <w:t>Labor</w:t>
      </w:r>
      <w:proofErr w:type="spellEnd"/>
      <w:r w:rsidRPr="009B37CA">
        <w:rPr>
          <w:rFonts w:ascii="Arial" w:hAnsi="Arial" w:cs="Arial"/>
        </w:rPr>
        <w:t xml:space="preserve"> Party morally opposed to the Bill that passed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in November 1964. By May 1965,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Australian soldiers were involved with the war in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Vietnam, and Menzies planned to raise the army’s numbers to 40 000 in order to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meet other South-West Pacific commitments.</w:t>
      </w:r>
    </w:p>
    <w:p w:rsidR="006C4A75" w:rsidRPr="009B37CA" w:rsidRDefault="006C4A75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Under the National Service Scheme, all 20 year-old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males were required to register for national service.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Their names were selected by the ‘birthday ballot’,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in which men were randomly selected for national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service by their date of birth. Marbles marked with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 date were drawn out of a Tattersall’s lottery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barrel. Such a</w:t>
      </w:r>
      <w:r w:rsidR="006C4A75">
        <w:rPr>
          <w:rFonts w:ascii="Arial" w:hAnsi="Arial" w:cs="Arial"/>
        </w:rPr>
        <w:t xml:space="preserve"> draw occurred every six months </w:t>
      </w:r>
      <w:r w:rsidRPr="009B37CA">
        <w:rPr>
          <w:rFonts w:ascii="Arial" w:hAnsi="Arial" w:cs="Arial"/>
        </w:rPr>
        <w:t>and on average, an Australian male stood a one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in 10 or one in 12 chance of being selected. The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Leader of the Opposition, Arthur Calwell, described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this system as a ‘lottery of death’. Those who were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selected for national service were required to serve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for two years full</w:t>
      </w:r>
      <w:r w:rsidRPr="009B37CA">
        <w:rPr>
          <w:rFonts w:ascii="Arial" w:eastAsia="MS Gothic" w:hAnsi="Arial" w:cs="Arial" w:hint="eastAsia"/>
        </w:rPr>
        <w:t>‑</w:t>
      </w:r>
      <w:r w:rsidRPr="009B37CA">
        <w:rPr>
          <w:rFonts w:ascii="Arial" w:hAnsi="Arial" w:cs="Arial"/>
        </w:rPr>
        <w:t>time in the regular army, and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three years part-time in the reserves.</w:t>
      </w:r>
    </w:p>
    <w:p w:rsidR="006C4A75" w:rsidRPr="009B37CA" w:rsidRDefault="006C4A75" w:rsidP="009B37CA">
      <w:pPr>
        <w:spacing w:after="0" w:line="240" w:lineRule="auto"/>
        <w:rPr>
          <w:rFonts w:ascii="Arial" w:hAnsi="Arial" w:cs="Arial"/>
        </w:rPr>
      </w:pP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Between 1965 and 1972, more than 800 000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men registered. About 63 000 were on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scripted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and more than 19 000 served in Vietnam.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Following widespread debate, anti-conscription</w:t>
      </w: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proofErr w:type="gramStart"/>
      <w:r w:rsidRPr="009B37CA">
        <w:rPr>
          <w:rFonts w:ascii="Arial" w:hAnsi="Arial" w:cs="Arial"/>
        </w:rPr>
        <w:t>and</w:t>
      </w:r>
      <w:proofErr w:type="gramEnd"/>
      <w:r w:rsidRPr="009B37CA">
        <w:rPr>
          <w:rFonts w:ascii="Arial" w:hAnsi="Arial" w:cs="Arial"/>
        </w:rPr>
        <w:t xml:space="preserve"> anti-Vietnam War demonstrations within the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Australian community, the Scheme was abolished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on 5 December 1972 by the newly elected</w:t>
      </w:r>
      <w:r w:rsidR="006C4A75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 xml:space="preserve">Whitlam </w:t>
      </w:r>
      <w:proofErr w:type="spellStart"/>
      <w:r w:rsidRPr="009B37CA">
        <w:rPr>
          <w:rFonts w:ascii="Arial" w:hAnsi="Arial" w:cs="Arial"/>
        </w:rPr>
        <w:t>Labor</w:t>
      </w:r>
      <w:proofErr w:type="spellEnd"/>
      <w:r w:rsidRPr="009B37CA">
        <w:rPr>
          <w:rFonts w:ascii="Arial" w:hAnsi="Arial" w:cs="Arial"/>
        </w:rPr>
        <w:t xml:space="preserve"> Government.</w:t>
      </w:r>
    </w:p>
    <w:p w:rsidR="009B37CA" w:rsidRDefault="009B37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37CA" w:rsidRDefault="009B37CA" w:rsidP="00C61EA1">
      <w:pPr>
        <w:pStyle w:val="H1"/>
      </w:pPr>
      <w:bookmarkStart w:id="16" w:name="_Toc331421571"/>
      <w:r w:rsidRPr="009B37CA">
        <w:lastRenderedPageBreak/>
        <w:t>The decisions</w:t>
      </w:r>
      <w:bookmarkEnd w:id="16"/>
    </w:p>
    <w:p w:rsidR="009B37CA" w:rsidRPr="009B37CA" w:rsidRDefault="009B37CA" w:rsidP="00C61EA1">
      <w:pPr>
        <w:pStyle w:val="H2"/>
      </w:pPr>
      <w:bookmarkStart w:id="17" w:name="_Toc331421572"/>
      <w:r w:rsidRPr="009B37CA">
        <w:t>The Referendum 1967</w:t>
      </w:r>
      <w:bookmarkEnd w:id="17"/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Australians seldom vote ‘yes’ in referendums. Yet on 27 May 1967, an over</w:t>
      </w:r>
      <w:r w:rsidR="00C61EA1">
        <w:rPr>
          <w:rFonts w:ascii="Arial" w:hAnsi="Arial" w:cs="Arial"/>
        </w:rPr>
        <w:t xml:space="preserve">whelming </w:t>
      </w:r>
      <w:r w:rsidRPr="009B37CA">
        <w:rPr>
          <w:rFonts w:ascii="Arial" w:hAnsi="Arial" w:cs="Arial"/>
        </w:rPr>
        <w:t>majority of Australians voted to alter the Constitution. The changes allowed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Aboriginal people to be counted in the national census and the Commonwealth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to make laws relevant to them. Before this time, the States controlled all matters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regarding Aboriginal people.</w:t>
      </w:r>
    </w:p>
    <w:p w:rsidR="00C61EA1" w:rsidRDefault="00C61EA1" w:rsidP="009B37CA">
      <w:pPr>
        <w:spacing w:after="0" w:line="240" w:lineRule="auto"/>
        <w:rPr>
          <w:rFonts w:ascii="Arial" w:hAnsi="Arial" w:cs="Arial"/>
        </w:rPr>
      </w:pP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Throughout the 20th century, several events orga</w:t>
      </w:r>
      <w:r w:rsidR="00C61EA1">
        <w:rPr>
          <w:rFonts w:ascii="Arial" w:hAnsi="Arial" w:cs="Arial"/>
        </w:rPr>
        <w:t xml:space="preserve">nised by Aboriginal leaders and </w:t>
      </w:r>
      <w:r w:rsidRPr="009B37CA">
        <w:rPr>
          <w:rFonts w:ascii="Arial" w:hAnsi="Arial" w:cs="Arial"/>
        </w:rPr>
        <w:t>activists raised public awareness of the Aboriginal movement for equality. In 1928,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Association for the Protection of Native Races advocated the need for a Royal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Commission to investigate the possibility of the Commonwealth taking control of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Aboriginal affairs. The Australian Aborigines’ League, established in 1932 by activist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William Cooper in Melbourne, challenged the living conditions of Aboriginal people.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In 1938, the first national protest was held by the Aborigines’ Progress Association on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150th anniversary of European colonisation of Australia. It was organised by both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Cooper and Jack Patten, activists who lobbied the Government for citizenship rights.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They renamed 26 January as the ‘Day of Mourning’.</w:t>
      </w:r>
    </w:p>
    <w:p w:rsidR="00C61EA1" w:rsidRDefault="00C61EA1" w:rsidP="009B37CA">
      <w:pPr>
        <w:spacing w:after="0" w:line="240" w:lineRule="auto"/>
        <w:rPr>
          <w:rFonts w:ascii="Arial" w:hAnsi="Arial" w:cs="Arial"/>
        </w:rPr>
      </w:pP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 xml:space="preserve">In 1957, Jessie Street and Faith </w:t>
      </w:r>
      <w:proofErr w:type="spellStart"/>
      <w:r w:rsidRPr="009B37CA">
        <w:rPr>
          <w:rFonts w:ascii="Arial" w:hAnsi="Arial" w:cs="Arial"/>
        </w:rPr>
        <w:t>Bandler</w:t>
      </w:r>
      <w:proofErr w:type="spellEnd"/>
      <w:r w:rsidRPr="009B37CA">
        <w:rPr>
          <w:rFonts w:ascii="Arial" w:hAnsi="Arial" w:cs="Arial"/>
        </w:rPr>
        <w:t xml:space="preserve"> campaigned for a referendum for Aboriginal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people to be included in the Australian census, and to change discriminatory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references to them in the Constitution. They drafted amendments to the Constitution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and established a political lobby group—the Federal Council for the Advancement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of Aborigines and Torres Strait Islanders (FCAATSI). The main aim of the group was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to push for a referendum and in 1958, a petition with over 100 000 signatures was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presented to the House of Representatives.</w:t>
      </w:r>
    </w:p>
    <w:p w:rsidR="00C61EA1" w:rsidRDefault="00C61EA1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A key development over this ten year campaign was a meeting in 1965 between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Prime Minister Robert Menzies and executive members of FCAATSI. At this meeting,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Indigenous issues from the States of Australia, reasons for a referendum and changes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to the Constitution were discussed. Despite mounting community support, it was not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until 1966 that the Government, led by Prime Minister Harold Holt, agreed to hold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 referendum.</w:t>
      </w:r>
    </w:p>
    <w:p w:rsidR="00C61EA1" w:rsidRPr="009B37CA" w:rsidRDefault="00C61EA1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 90.7 per cent ‘yes’ vote brought welcome changes to the Federal legislation,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addressing land rights, discriminatory practices, and preservation of cultural heritage.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referendum is remembered as one of the significant victories for Aboriginal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people in the 1960s, along with winning the right to vote through The Commonwealth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Electoral Act 1962.</w:t>
      </w:r>
    </w:p>
    <w:p w:rsidR="009B37CA" w:rsidRDefault="009B37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37CA" w:rsidRPr="009B37CA" w:rsidRDefault="009B37CA" w:rsidP="00C61EA1">
      <w:pPr>
        <w:pStyle w:val="H2"/>
      </w:pPr>
      <w:bookmarkStart w:id="18" w:name="_Toc331421573"/>
      <w:r w:rsidRPr="009B37CA">
        <w:lastRenderedPageBreak/>
        <w:t>The Racial Discrimination Act 1975</w:t>
      </w:r>
      <w:bookmarkEnd w:id="18"/>
    </w:p>
    <w:p w:rsidR="00C61EA1" w:rsidRDefault="00C61EA1" w:rsidP="009B37CA">
      <w:pPr>
        <w:spacing w:after="0" w:line="240" w:lineRule="auto"/>
        <w:rPr>
          <w:rFonts w:ascii="Arial" w:hAnsi="Arial" w:cs="Arial"/>
        </w:rPr>
      </w:pP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 Racial Discrimination Act 1975 meant the end of the White Australia Policy.</w:t>
      </w: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This policy had endorsed a preference for British migrants since Federation when</w:t>
      </w: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 Immigration Restriction Act 1901 limited migratio</w:t>
      </w:r>
      <w:r w:rsidR="00C61EA1">
        <w:rPr>
          <w:rFonts w:ascii="Arial" w:hAnsi="Arial" w:cs="Arial"/>
        </w:rPr>
        <w:t xml:space="preserve">n to Australia. The immigration </w:t>
      </w:r>
      <w:r w:rsidRPr="009B37CA">
        <w:rPr>
          <w:rFonts w:ascii="Arial" w:hAnsi="Arial" w:cs="Arial"/>
        </w:rPr>
        <w:t>restrictions were supported by many, including the union movement, which believed</w:t>
      </w: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proofErr w:type="gramStart"/>
      <w:r w:rsidRPr="009B37CA">
        <w:rPr>
          <w:rFonts w:ascii="Arial" w:hAnsi="Arial" w:cs="Arial"/>
        </w:rPr>
        <w:t>that</w:t>
      </w:r>
      <w:proofErr w:type="gramEnd"/>
      <w:r w:rsidRPr="009B37CA">
        <w:rPr>
          <w:rFonts w:ascii="Arial" w:hAnsi="Arial" w:cs="Arial"/>
        </w:rPr>
        <w:t xml:space="preserve"> cheap Asian or South Sea Islander labour undermined Australian working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conditions. In 1904, over 4000 islanders were deported under the Restriction Act.</w:t>
      </w:r>
    </w:p>
    <w:p w:rsidR="00C61EA1" w:rsidRDefault="00C61EA1" w:rsidP="009B37CA">
      <w:pPr>
        <w:spacing w:after="0" w:line="240" w:lineRule="auto"/>
        <w:rPr>
          <w:rFonts w:ascii="Arial" w:hAnsi="Arial" w:cs="Arial"/>
        </w:rPr>
      </w:pP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 exclusion or deportation of migrants could not be determined by race since</w:t>
      </w: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Britain opposed racially-based restrictions. The s</w:t>
      </w:r>
      <w:r w:rsidR="00C61EA1">
        <w:rPr>
          <w:rFonts w:ascii="Arial" w:hAnsi="Arial" w:cs="Arial"/>
        </w:rPr>
        <w:t xml:space="preserve">election process for Australian </w:t>
      </w:r>
      <w:r w:rsidRPr="009B37CA">
        <w:rPr>
          <w:rFonts w:ascii="Arial" w:hAnsi="Arial" w:cs="Arial"/>
        </w:rPr>
        <w:t>migrants took the form of a 50 word dictation test set by customs officials in any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European language. If the applicant passed, they would then be tested in another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language. After 1909, no-one who sat the test passed.</w:t>
      </w:r>
    </w:p>
    <w:p w:rsidR="00C61EA1" w:rsidRPr="009B37CA" w:rsidRDefault="00C61EA1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Successive Australian Governments sought to increase Australia’s population with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child endowment payments and migration incentives for British people. As British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citizens in the Asia Pacific region, Australians felt vulnerable. This fear was increased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by Japan’s offensive in the Second World War and the Communist victory in China.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post-war immigration policy was ‘populate or perish’—increase the population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to defend Australia. Australia’s first Immigration Minister, Arthur Calwell, targeted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Northern Europeans. Their customs and appearance were considered suitable for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rapid assimilation into Australian culture. Calwell argued that Australians were too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intolerant to cope with non-Europeans. Many agreed with his infamous throwaway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 xml:space="preserve">line in 1947, ‘Two </w:t>
      </w:r>
      <w:proofErr w:type="spellStart"/>
      <w:r w:rsidRPr="009B37CA">
        <w:rPr>
          <w:rFonts w:ascii="Arial" w:hAnsi="Arial" w:cs="Arial"/>
        </w:rPr>
        <w:t>Wongs</w:t>
      </w:r>
      <w:proofErr w:type="spellEnd"/>
      <w:r w:rsidRPr="009B37CA">
        <w:rPr>
          <w:rFonts w:ascii="Arial" w:hAnsi="Arial" w:cs="Arial"/>
        </w:rPr>
        <w:t xml:space="preserve"> do not make a white.’</w:t>
      </w:r>
    </w:p>
    <w:p w:rsidR="00C61EA1" w:rsidRPr="009B37CA" w:rsidRDefault="00C61EA1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During the 1950s, the White Australia Policy was widely condemned. In 1951 and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1952, the Federal Government signed migration agreements with Italy and Greece.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Government aid programs welcomed large numbers of Africans and Asians to study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in Australia. Immigration Minister Harold Holt’s Immigration Act 1958 abolished the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dictation test, but the entry permit system was still racially-based.</w:t>
      </w:r>
    </w:p>
    <w:p w:rsidR="00C61EA1" w:rsidRPr="009B37CA" w:rsidRDefault="00C61EA1" w:rsidP="009B37CA">
      <w:pPr>
        <w:spacing w:after="0" w:line="240" w:lineRule="auto"/>
        <w:rPr>
          <w:rFonts w:ascii="Arial" w:hAnsi="Arial" w:cs="Arial"/>
        </w:rPr>
      </w:pP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 White Australia Policy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officially ended in 1973 when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Prime Minister Gough Whitlam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declared, ‘As an island nation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of predominantly European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inhabitants situated on the edge</w:t>
      </w:r>
    </w:p>
    <w:p w:rsidR="009B37CA" w:rsidRDefault="009B37CA" w:rsidP="00C61EA1">
      <w:pPr>
        <w:spacing w:after="0" w:line="240" w:lineRule="auto"/>
        <w:rPr>
          <w:rFonts w:ascii="Arial" w:hAnsi="Arial" w:cs="Arial"/>
        </w:rPr>
      </w:pPr>
      <w:proofErr w:type="gramStart"/>
      <w:r w:rsidRPr="009B37CA">
        <w:rPr>
          <w:rFonts w:ascii="Arial" w:hAnsi="Arial" w:cs="Arial"/>
        </w:rPr>
        <w:t>of</w:t>
      </w:r>
      <w:proofErr w:type="gramEnd"/>
      <w:r w:rsidRPr="009B37CA">
        <w:rPr>
          <w:rFonts w:ascii="Arial" w:hAnsi="Arial" w:cs="Arial"/>
        </w:rPr>
        <w:t xml:space="preserve"> Asia, we cannot afford the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stigma of racialism.’ The Racial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Discrimination Act 1975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followed.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 xml:space="preserve">Immigration Minister, Al </w:t>
      </w:r>
      <w:proofErr w:type="spellStart"/>
      <w:r w:rsidRPr="009B37CA">
        <w:rPr>
          <w:rFonts w:ascii="Arial" w:hAnsi="Arial" w:cs="Arial"/>
        </w:rPr>
        <w:t>Grassby</w:t>
      </w:r>
      <w:proofErr w:type="spellEnd"/>
      <w:r w:rsidRPr="009B37CA">
        <w:rPr>
          <w:rFonts w:ascii="Arial" w:hAnsi="Arial" w:cs="Arial"/>
        </w:rPr>
        <w:t>,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promoted ‘multiculturalism’, a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concept that valued cultural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diversity and underpinned the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policies of both the Australian</w:t>
      </w:r>
      <w:r w:rsidR="00C61EA1">
        <w:rPr>
          <w:rFonts w:ascii="Arial" w:hAnsi="Arial" w:cs="Arial"/>
        </w:rPr>
        <w:t xml:space="preserve"> </w:t>
      </w:r>
      <w:proofErr w:type="spellStart"/>
      <w:r w:rsidRPr="009B37CA">
        <w:rPr>
          <w:rFonts w:ascii="Arial" w:hAnsi="Arial" w:cs="Arial"/>
        </w:rPr>
        <w:t>Labor</w:t>
      </w:r>
      <w:proofErr w:type="spellEnd"/>
      <w:r w:rsidRPr="009B37CA">
        <w:rPr>
          <w:rFonts w:ascii="Arial" w:hAnsi="Arial" w:cs="Arial"/>
        </w:rPr>
        <w:t xml:space="preserve"> Party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Government and the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Liberal/National Country Party.</w:t>
      </w:r>
      <w:r>
        <w:rPr>
          <w:rFonts w:ascii="Arial" w:hAnsi="Arial" w:cs="Arial"/>
        </w:rPr>
        <w:br w:type="page"/>
      </w:r>
    </w:p>
    <w:p w:rsidR="009B37CA" w:rsidRPr="009B37CA" w:rsidRDefault="009B37CA" w:rsidP="00C61EA1">
      <w:pPr>
        <w:pStyle w:val="H2"/>
      </w:pPr>
      <w:bookmarkStart w:id="19" w:name="_Toc331421574"/>
      <w:r w:rsidRPr="009B37CA">
        <w:lastRenderedPageBreak/>
        <w:t>The World Heritage Properties Conservation Act 1983</w:t>
      </w:r>
      <w:bookmarkEnd w:id="19"/>
    </w:p>
    <w:p w:rsidR="00C61EA1" w:rsidRDefault="00C61EA1" w:rsidP="009B37CA">
      <w:pPr>
        <w:spacing w:after="0" w:line="240" w:lineRule="auto"/>
        <w:rPr>
          <w:rFonts w:ascii="Arial" w:hAnsi="Arial" w:cs="Arial"/>
        </w:rPr>
      </w:pP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On 1 July 1983, the High Court upheld the Federal Government’s World Heritage</w:t>
      </w: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Properties Conservation Act 1983 against a challenge from the Tasmanian State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Government. This stopped the Franklin River dam and confirmed the Federal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Government’s power to protect world heritage sites.</w:t>
      </w:r>
    </w:p>
    <w:p w:rsidR="00C61EA1" w:rsidRPr="009B37CA" w:rsidRDefault="00C61EA1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Long before the Gordon-below-Franklin dam pr</w:t>
      </w:r>
      <w:r w:rsidR="00C61EA1">
        <w:rPr>
          <w:rFonts w:ascii="Arial" w:hAnsi="Arial" w:cs="Arial"/>
        </w:rPr>
        <w:t xml:space="preserve">oposal was put forward in 1978, </w:t>
      </w:r>
      <w:r w:rsidRPr="009B37CA">
        <w:rPr>
          <w:rFonts w:ascii="Arial" w:hAnsi="Arial" w:cs="Arial"/>
        </w:rPr>
        <w:t>successive Tasmanian Governments supported increased hydro-electricity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generation. Cheap electricity meant opportunities for industrial development and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employment growth. The State’s largest employer, the Hydro-Electric Commission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(HEC), controlled water resources and was government owned.</w:t>
      </w:r>
    </w:p>
    <w:p w:rsidR="00C61EA1" w:rsidRPr="009B37CA" w:rsidRDefault="00C61EA1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The conservation movement in Tasmania grew in response to development in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environmentally significant areas. The United Tasmanian Group became the world’s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first green political party in 1971. Protest groups tried and failed to stop the HEC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flooding Lake Pedder in 1972. By 1976 the groups had united as the Tasmanian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 xml:space="preserve">Wilderness Society. Their ‘No Dams’ campaign was underway when the State </w:t>
      </w:r>
      <w:proofErr w:type="spellStart"/>
      <w:r w:rsidRPr="009B37CA">
        <w:rPr>
          <w:rFonts w:ascii="Arial" w:hAnsi="Arial" w:cs="Arial"/>
        </w:rPr>
        <w:t>Labor</w:t>
      </w:r>
      <w:proofErr w:type="spellEnd"/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Government legislated for the Gordon-below-Franklin dam in 1981. In June 1980,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10 000 people had rallied in Hobart to save the Franklin, the largest Tasmanian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protest ever.</w:t>
      </w:r>
    </w:p>
    <w:p w:rsidR="00C61EA1" w:rsidRPr="009B37CA" w:rsidRDefault="00C61EA1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In December 1981, a referendum offered Tasmanians a choice between two dam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proposals on the Gordon River. The referendum results were unclear—53 per cent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preferred the Lower Gordon option; 9 per cent the Upper Gordon and 38 per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cent protested by writing ‘No Dams’ on the ballot. A State election followed with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 xml:space="preserve">a change of government. New Liberal Premier, Robin </w:t>
      </w:r>
      <w:proofErr w:type="spellStart"/>
      <w:r w:rsidRPr="009B37CA">
        <w:rPr>
          <w:rFonts w:ascii="Arial" w:hAnsi="Arial" w:cs="Arial"/>
        </w:rPr>
        <w:t>Gray</w:t>
      </w:r>
      <w:proofErr w:type="spellEnd"/>
      <w:r w:rsidRPr="009B37CA">
        <w:rPr>
          <w:rFonts w:ascii="Arial" w:hAnsi="Arial" w:cs="Arial"/>
        </w:rPr>
        <w:t>, threatened to secede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from the Commonwealth if the Federal Government</w:t>
      </w:r>
      <w:r w:rsidR="00C61EA1">
        <w:rPr>
          <w:rFonts w:ascii="Arial" w:hAnsi="Arial" w:cs="Arial"/>
        </w:rPr>
        <w:t xml:space="preserve"> interfered with State affairs. </w:t>
      </w:r>
      <w:r w:rsidRPr="009B37CA">
        <w:rPr>
          <w:rFonts w:ascii="Arial" w:hAnsi="Arial" w:cs="Arial"/>
        </w:rPr>
        <w:t>The Wilderness Society leader, Bob Brown, toured Australia raising support for the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campaign. He hoped this would persuade Prime Minister Malcolm Fraser to overrule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State legislation.</w:t>
      </w:r>
    </w:p>
    <w:p w:rsidR="00C61EA1" w:rsidRPr="009B37CA" w:rsidRDefault="00C61EA1" w:rsidP="009B37CA">
      <w:pPr>
        <w:spacing w:after="0" w:line="240" w:lineRule="auto"/>
        <w:rPr>
          <w:rFonts w:ascii="Arial" w:hAnsi="Arial" w:cs="Arial"/>
        </w:rPr>
      </w:pP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Protesters formed a blockade at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dam site on 14 December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1982, the day on which the area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was listed as a world heritage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site. During January 1983,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around 50 people arrived at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blockade every day. Over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1000 people were arrested.</w:t>
      </w:r>
    </w:p>
    <w:p w:rsidR="00C61EA1" w:rsidRDefault="00C61EA1" w:rsidP="009B37CA">
      <w:pPr>
        <w:spacing w:after="0" w:line="240" w:lineRule="auto"/>
        <w:rPr>
          <w:rFonts w:ascii="Arial" w:hAnsi="Arial" w:cs="Arial"/>
        </w:rPr>
      </w:pP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 xml:space="preserve">In early 1983, </w:t>
      </w:r>
      <w:proofErr w:type="spellStart"/>
      <w:r w:rsidRPr="009B37CA">
        <w:rPr>
          <w:rFonts w:ascii="Arial" w:hAnsi="Arial" w:cs="Arial"/>
        </w:rPr>
        <w:t>Labor</w:t>
      </w:r>
      <w:proofErr w:type="spellEnd"/>
      <w:r w:rsidRPr="009B37CA">
        <w:rPr>
          <w:rFonts w:ascii="Arial" w:hAnsi="Arial" w:cs="Arial"/>
        </w:rPr>
        <w:t xml:space="preserve"> leader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Bob Hawke promised to save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Franklin River as part of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his federal election campaign.</w:t>
      </w:r>
      <w:r w:rsidR="00C61EA1">
        <w:rPr>
          <w:rFonts w:ascii="Arial" w:hAnsi="Arial" w:cs="Arial"/>
        </w:rPr>
        <w:t xml:space="preserve"> </w:t>
      </w:r>
      <w:proofErr w:type="spellStart"/>
      <w:r w:rsidRPr="009B37CA">
        <w:rPr>
          <w:rFonts w:ascii="Arial" w:hAnsi="Arial" w:cs="Arial"/>
        </w:rPr>
        <w:t>Labor</w:t>
      </w:r>
      <w:proofErr w:type="spellEnd"/>
      <w:r w:rsidRPr="009B37CA">
        <w:rPr>
          <w:rFonts w:ascii="Arial" w:hAnsi="Arial" w:cs="Arial"/>
        </w:rPr>
        <w:t xml:space="preserve"> won office with a large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swing on 5 March. By May,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World Heritage Properties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Conservation Act 1983</w:t>
      </w:r>
      <w:r w:rsidR="00C61EA1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became law.</w:t>
      </w:r>
    </w:p>
    <w:p w:rsidR="009B37CA" w:rsidRDefault="009B37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37CA" w:rsidRDefault="009B37CA" w:rsidP="00C61EA1">
      <w:pPr>
        <w:pStyle w:val="H1"/>
      </w:pPr>
      <w:bookmarkStart w:id="20" w:name="_Toc331421575"/>
      <w:r w:rsidRPr="009B37CA">
        <w:lastRenderedPageBreak/>
        <w:t>The Prime Ministers of Old Parliament House</w:t>
      </w:r>
      <w:bookmarkEnd w:id="20"/>
    </w:p>
    <w:p w:rsidR="005B0064" w:rsidRDefault="009B37CA" w:rsidP="005B0064">
      <w:pPr>
        <w:pStyle w:val="H2"/>
      </w:pPr>
      <w:bookmarkStart w:id="21" w:name="_Toc331421576"/>
      <w:r w:rsidRPr="009B37CA">
        <w:t>Stan</w:t>
      </w:r>
      <w:r w:rsidR="005B0064">
        <w:t>ley Melbourne Bruce</w:t>
      </w:r>
      <w:bookmarkEnd w:id="21"/>
      <w:r w:rsidR="005B0064">
        <w:t xml:space="preserve"> </w:t>
      </w: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(1883–1967)</w:t>
      </w: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Prime Minister 1923–29, Nationalist Party</w:t>
      </w: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 xml:space="preserve">A Gallipoli veteran and experienced businessman, </w:t>
      </w:r>
      <w:r w:rsidR="005B0064">
        <w:rPr>
          <w:rFonts w:ascii="Arial" w:hAnsi="Arial" w:cs="Arial"/>
        </w:rPr>
        <w:t xml:space="preserve">Stanley Melbourne Bruce entered </w:t>
      </w:r>
      <w:r w:rsidRPr="009B37CA">
        <w:rPr>
          <w:rFonts w:ascii="Arial" w:hAnsi="Arial" w:cs="Arial"/>
        </w:rPr>
        <w:t>Parliament in 1918. Within little more than four yea</w:t>
      </w:r>
      <w:r w:rsidR="005B0064">
        <w:rPr>
          <w:rFonts w:ascii="Arial" w:hAnsi="Arial" w:cs="Arial"/>
        </w:rPr>
        <w:t xml:space="preserve">rs he was Prime Minister. Among </w:t>
      </w:r>
      <w:r w:rsidRPr="009B37CA">
        <w:rPr>
          <w:rFonts w:ascii="Arial" w:hAnsi="Arial" w:cs="Arial"/>
        </w:rPr>
        <w:t>his enduring achievements was the Coalition agreement between the non-</w:t>
      </w:r>
      <w:proofErr w:type="spellStart"/>
      <w:r w:rsidRPr="009B37CA">
        <w:rPr>
          <w:rFonts w:ascii="Arial" w:hAnsi="Arial" w:cs="Arial"/>
        </w:rPr>
        <w:t>Labor</w:t>
      </w:r>
      <w:proofErr w:type="spellEnd"/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parties. He oversaw Parliament’s move to Canberra in 1927, but lost his seat at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1929 election. Despite winning it back in 1931, Bruce had little real influence.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Out</w:t>
      </w:r>
      <w:r w:rsidRPr="009B37CA">
        <w:rPr>
          <w:rFonts w:ascii="Arial" w:eastAsia="MS Gothic" w:hAnsi="Arial" w:cs="Arial" w:hint="eastAsia"/>
        </w:rPr>
        <w:t>‑</w:t>
      </w:r>
      <w:r w:rsidRPr="009B37CA">
        <w:rPr>
          <w:rFonts w:ascii="Arial" w:hAnsi="Arial" w:cs="Arial"/>
        </w:rPr>
        <w:t>manoeuvred by Joe Lyons after the fall of the Scullin Government, he agreed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to serve as High Commissioner in London and represent Australia at the League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of Nations.</w:t>
      </w:r>
    </w:p>
    <w:p w:rsidR="009B37CA" w:rsidRPr="009B37CA" w:rsidRDefault="009B37CA" w:rsidP="005B0064">
      <w:pPr>
        <w:pStyle w:val="H2"/>
      </w:pPr>
      <w:bookmarkStart w:id="22" w:name="_Toc331421577"/>
      <w:r w:rsidRPr="009B37CA">
        <w:t>James Scullin</w:t>
      </w:r>
      <w:bookmarkEnd w:id="22"/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(1876–1953)</w:t>
      </w: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 xml:space="preserve">Prime Minister 1929–32, Australian </w:t>
      </w:r>
      <w:proofErr w:type="spellStart"/>
      <w:r w:rsidRPr="009B37CA">
        <w:rPr>
          <w:rFonts w:ascii="Arial" w:hAnsi="Arial" w:cs="Arial"/>
        </w:rPr>
        <w:t>Labor</w:t>
      </w:r>
      <w:proofErr w:type="spellEnd"/>
      <w:r w:rsidRPr="009B37CA">
        <w:rPr>
          <w:rFonts w:ascii="Arial" w:hAnsi="Arial" w:cs="Arial"/>
        </w:rPr>
        <w:t xml:space="preserve"> Party</w:t>
      </w: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James Scullin had the difficult task of managing Australia’s economy with its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substantial foreign debts at the beginning of the Great Depression of the 1930s,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while leading a party reluctant to cut social welfare and wages. A series of bitter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splits destroyed his Government in less than two years. In spite of the sectarianism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of the time, Scullin was Australia’s first Catholic Prime Minister. He began his working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life as a grocer and was a leading campaigner against conscription during the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First World War.</w:t>
      </w:r>
    </w:p>
    <w:p w:rsidR="009B37CA" w:rsidRPr="009B37CA" w:rsidRDefault="009B37CA" w:rsidP="005B0064">
      <w:pPr>
        <w:pStyle w:val="H2"/>
      </w:pPr>
      <w:bookmarkStart w:id="23" w:name="_Toc331421578"/>
      <w:r w:rsidRPr="009B37CA">
        <w:t>Joseph Lyons</w:t>
      </w:r>
      <w:bookmarkEnd w:id="23"/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(1879–1939)</w:t>
      </w: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Prime Minister 1932–39, United Australia Party</w:t>
      </w:r>
    </w:p>
    <w:p w:rsidR="005357E9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One of the great dramas of Parliament’s history began with the defection of Joseph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 xml:space="preserve">Lyons from </w:t>
      </w:r>
      <w:proofErr w:type="spellStart"/>
      <w:r w:rsidRPr="009B37CA">
        <w:rPr>
          <w:rFonts w:ascii="Arial" w:hAnsi="Arial" w:cs="Arial"/>
        </w:rPr>
        <w:t>Labor</w:t>
      </w:r>
      <w:proofErr w:type="spellEnd"/>
      <w:r w:rsidRPr="009B37CA">
        <w:rPr>
          <w:rFonts w:ascii="Arial" w:hAnsi="Arial" w:cs="Arial"/>
        </w:rPr>
        <w:t xml:space="preserve"> in 1931. Anti-socialist politicians regrouped around Lyons to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form the United Australia Party. This party won the 1931 federal election and Lyons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became Prime Minister. Lyons began his political career as a fiery Tasmanian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socialist. He had been forced to go to work at the age of nine, but was later able to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return to school and became a teacher. He was Premier of Tasmania for five years in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the 1920s, and then moved to federal politics in 1929. H</w:t>
      </w:r>
      <w:r w:rsidR="005B0064">
        <w:rPr>
          <w:rFonts w:ascii="Arial" w:hAnsi="Arial" w:cs="Arial"/>
        </w:rPr>
        <w:t>e died in office in April 1939.</w:t>
      </w:r>
    </w:p>
    <w:p w:rsidR="005357E9" w:rsidRPr="005357E9" w:rsidRDefault="005357E9" w:rsidP="005B0064">
      <w:pPr>
        <w:pStyle w:val="H2"/>
      </w:pPr>
      <w:bookmarkStart w:id="24" w:name="_Toc331421579"/>
      <w:r w:rsidRPr="005357E9">
        <w:t>Sir Earle Page</w:t>
      </w:r>
      <w:bookmarkEnd w:id="24"/>
    </w:p>
    <w:p w:rsid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(1880–1961)</w:t>
      </w:r>
    </w:p>
    <w:p w:rsidR="009B37CA" w:rsidRP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Prime Minister April 1939, Australian Country Party</w:t>
      </w:r>
    </w:p>
    <w:p w:rsidR="009B37CA" w:rsidRDefault="009B37CA" w:rsidP="009B37CA">
      <w:pPr>
        <w:spacing w:after="0" w:line="240" w:lineRule="auto"/>
        <w:rPr>
          <w:rFonts w:ascii="Arial" w:hAnsi="Arial" w:cs="Arial"/>
        </w:rPr>
      </w:pPr>
      <w:r w:rsidRPr="009B37CA">
        <w:rPr>
          <w:rFonts w:ascii="Arial" w:hAnsi="Arial" w:cs="Arial"/>
        </w:rPr>
        <w:t>Earle Page became Caretaker Prime Minister for 19 days after the death of Joseph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Lyons in 1939. One of the founding members of the Country Party, Page entered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Federal Parliament in 1919. He set out the conditions of the coalition between his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party and the conservatives—an arrangement still in place today. Once Robert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Menzies became the new leader of the United Australia Party, Earle Page stepped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down. At the time, his reputation suffered because he attacked Menzies’ leadership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credentials on the floor of the House of Representatives. He was, however, returned</w:t>
      </w:r>
      <w:r w:rsidR="005B0064">
        <w:rPr>
          <w:rFonts w:ascii="Arial" w:hAnsi="Arial" w:cs="Arial"/>
        </w:rPr>
        <w:t xml:space="preserve"> </w:t>
      </w:r>
      <w:r w:rsidRPr="009B37CA">
        <w:rPr>
          <w:rFonts w:ascii="Arial" w:hAnsi="Arial" w:cs="Arial"/>
        </w:rPr>
        <w:t>to Cabinet by Menzies as Health Minister in 1949.</w:t>
      </w:r>
    </w:p>
    <w:p w:rsidR="005357E9" w:rsidRPr="005357E9" w:rsidRDefault="005357E9" w:rsidP="005B0064">
      <w:pPr>
        <w:pStyle w:val="H2"/>
      </w:pPr>
      <w:bookmarkStart w:id="25" w:name="_Toc331421580"/>
      <w:r w:rsidRPr="005357E9">
        <w:t>Sir Robert Menzies</w:t>
      </w:r>
      <w:bookmarkEnd w:id="25"/>
    </w:p>
    <w:p w:rsid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(1894–1978)</w:t>
      </w:r>
    </w:p>
    <w:p w:rsidR="005357E9" w:rsidRP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Prime Minister 1939–41, United Australia Party</w:t>
      </w:r>
    </w:p>
    <w:p w:rsid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Robert Menzies was Prime Minister for a total of almost 19 years and a leading figure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in Federal Parliament during his entire period in the House—from his election in 1934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until his retirement in 1966. He was a founder of both the United Australia Party and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the Liberal Party. Menzies grew up in Jeparit, a Victorian country town, where his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parents kept a store. His was a political family, prominent in the local community.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 xml:space="preserve">Menzies’ first political tutor was </w:t>
      </w:r>
      <w:r w:rsidRPr="005357E9">
        <w:rPr>
          <w:rFonts w:ascii="Arial" w:hAnsi="Arial" w:cs="Arial"/>
        </w:rPr>
        <w:lastRenderedPageBreak/>
        <w:t>his grandfather, John Sampson, who had been a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union organiser driven from the mines by an owners’ boycott.</w:t>
      </w:r>
    </w:p>
    <w:p w:rsidR="005357E9" w:rsidRPr="005357E9" w:rsidRDefault="005357E9" w:rsidP="005B0064">
      <w:pPr>
        <w:pStyle w:val="H2"/>
      </w:pPr>
      <w:bookmarkStart w:id="26" w:name="_Toc331421581"/>
      <w:r w:rsidRPr="005357E9">
        <w:t>Arthur Fadden</w:t>
      </w:r>
      <w:bookmarkEnd w:id="26"/>
    </w:p>
    <w:p w:rsid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(1895–1973)</w:t>
      </w:r>
    </w:p>
    <w:p w:rsidR="005357E9" w:rsidRP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Prime Minister March 1941, Australian Country Party</w:t>
      </w:r>
    </w:p>
    <w:p w:rsid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Arthur Fadden first took centre stage in public life in 1918 when he and an alderman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took charge of the city of Mackay after a destructive cyclone. Later Fadden became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an accountant, and went into State politics. In 1936, he was elected to Federal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Parliament. He resigned from the Country Party in protest at Earle Page’s attack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on Menzies in 1939, but became Country Party leader in 1940. After the failure of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Menzies’ first Government, he became Prime Minister himself—the only Country Party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member to do so in his own right. He inherited a deeply divided Coalition which fell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after little more than a month when two independents crossed the floor.</w:t>
      </w:r>
    </w:p>
    <w:p w:rsidR="005357E9" w:rsidRPr="005357E9" w:rsidRDefault="005357E9" w:rsidP="005B0064">
      <w:pPr>
        <w:pStyle w:val="H2"/>
      </w:pPr>
      <w:bookmarkStart w:id="27" w:name="_Toc331421582"/>
      <w:r w:rsidRPr="005357E9">
        <w:t>John Curtin</w:t>
      </w:r>
      <w:bookmarkEnd w:id="27"/>
    </w:p>
    <w:p w:rsid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(1885–1945)</w:t>
      </w:r>
    </w:p>
    <w:p w:rsidR="005357E9" w:rsidRP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 xml:space="preserve">Prime Minister 1941–45, Australian </w:t>
      </w:r>
      <w:proofErr w:type="spellStart"/>
      <w:r w:rsidRPr="005357E9">
        <w:rPr>
          <w:rFonts w:ascii="Arial" w:hAnsi="Arial" w:cs="Arial"/>
        </w:rPr>
        <w:t>Labor</w:t>
      </w:r>
      <w:proofErr w:type="spellEnd"/>
      <w:r w:rsidRPr="005357E9">
        <w:rPr>
          <w:rFonts w:ascii="Arial" w:hAnsi="Arial" w:cs="Arial"/>
        </w:rPr>
        <w:t xml:space="preserve"> Party</w:t>
      </w:r>
    </w:p>
    <w:p w:rsid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John Curtin came to power in 1941 when Arthur Fadden was defeated on the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 xml:space="preserve">floor of the House of Representatives. He led </w:t>
      </w:r>
      <w:proofErr w:type="spellStart"/>
      <w:r w:rsidRPr="005357E9">
        <w:rPr>
          <w:rFonts w:ascii="Arial" w:hAnsi="Arial" w:cs="Arial"/>
        </w:rPr>
        <w:t>Labor</w:t>
      </w:r>
      <w:proofErr w:type="spellEnd"/>
      <w:r w:rsidRPr="005357E9">
        <w:rPr>
          <w:rFonts w:ascii="Arial" w:hAnsi="Arial" w:cs="Arial"/>
        </w:rPr>
        <w:t xml:space="preserve"> to a landslide victory in the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1943 elections. Many revere him as one of Australia’s greatest leaders. During the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Second World War, he was able to transcend party differences for the sake of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 xml:space="preserve">national unity. General Douglas </w:t>
      </w:r>
      <w:proofErr w:type="spellStart"/>
      <w:r w:rsidRPr="005357E9">
        <w:rPr>
          <w:rFonts w:ascii="Arial" w:hAnsi="Arial" w:cs="Arial"/>
        </w:rPr>
        <w:t>Macarther</w:t>
      </w:r>
      <w:proofErr w:type="spellEnd"/>
      <w:r w:rsidRPr="005357E9">
        <w:rPr>
          <w:rFonts w:ascii="Arial" w:hAnsi="Arial" w:cs="Arial"/>
        </w:rPr>
        <w:t xml:space="preserve"> hailed him as ‘one of the greatest of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the war time statesmen’. Curtin went to work as a copyboy for The Age newspaper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at the age of 14, and later became a union organiser and journalist. He was the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 xml:space="preserve">first federal president of the Timber Workers’ </w:t>
      </w:r>
      <w:proofErr w:type="gramStart"/>
      <w:r w:rsidRPr="005357E9">
        <w:rPr>
          <w:rFonts w:ascii="Arial" w:hAnsi="Arial" w:cs="Arial"/>
        </w:rPr>
        <w:t>Union,</w:t>
      </w:r>
      <w:proofErr w:type="gramEnd"/>
      <w:r w:rsidRPr="005357E9">
        <w:rPr>
          <w:rFonts w:ascii="Arial" w:hAnsi="Arial" w:cs="Arial"/>
        </w:rPr>
        <w:t xml:space="preserve"> and Victorian secretary of the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Anti</w:t>
      </w:r>
      <w:r w:rsidRPr="005357E9">
        <w:rPr>
          <w:rFonts w:ascii="Arial" w:eastAsia="MS Gothic" w:hAnsi="Arial" w:cs="Arial" w:hint="eastAsia"/>
        </w:rPr>
        <w:t>‑</w:t>
      </w:r>
      <w:r w:rsidRPr="005357E9">
        <w:rPr>
          <w:rFonts w:ascii="Arial" w:hAnsi="Arial" w:cs="Arial"/>
        </w:rPr>
        <w:t>Conscription League during the Second World War. He died in office and lay in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state in King’s Hall before his burial in Perth.</w:t>
      </w:r>
    </w:p>
    <w:p w:rsidR="005357E9" w:rsidRPr="005357E9" w:rsidRDefault="005357E9" w:rsidP="005B0064">
      <w:pPr>
        <w:pStyle w:val="H2"/>
      </w:pPr>
      <w:bookmarkStart w:id="28" w:name="_Toc331421583"/>
      <w:r w:rsidRPr="005357E9">
        <w:t>Francis Forde</w:t>
      </w:r>
      <w:bookmarkEnd w:id="28"/>
    </w:p>
    <w:p w:rsid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(1890–1983)</w:t>
      </w:r>
    </w:p>
    <w:p w:rsidR="005357E9" w:rsidRP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 xml:space="preserve">Prime Minister July 1945, Australian </w:t>
      </w:r>
      <w:proofErr w:type="spellStart"/>
      <w:r w:rsidRPr="005357E9">
        <w:rPr>
          <w:rFonts w:ascii="Arial" w:hAnsi="Arial" w:cs="Arial"/>
        </w:rPr>
        <w:t>Labor</w:t>
      </w:r>
      <w:proofErr w:type="spellEnd"/>
      <w:r w:rsidRPr="005357E9">
        <w:rPr>
          <w:rFonts w:ascii="Arial" w:hAnsi="Arial" w:cs="Arial"/>
        </w:rPr>
        <w:t xml:space="preserve"> Party</w:t>
      </w:r>
    </w:p>
    <w:p w:rsid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Frank Forde, like Earle Page, was a Caretaker Prime Minister. He took office for eight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days after the death of John Curtin. A loyal and dependable Deputy Prime Minister,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Frank Forde was by-passed twice for the leadership. In 1934 he lost narrowly to John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Curtin and again in 1945, to Ben Chifley. Nevertheless he strongly supported both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leaders during the Second World War as a member of the War Council, as Minister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for the Army and later as Minister for Defence. He entered Federal Parliament in 1922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as the Member for Capricornia, serving for 24 years until his defeat in 1946.</w:t>
      </w:r>
    </w:p>
    <w:p w:rsidR="005357E9" w:rsidRPr="005357E9" w:rsidRDefault="005357E9" w:rsidP="005B0064">
      <w:pPr>
        <w:pStyle w:val="H2"/>
      </w:pPr>
      <w:bookmarkStart w:id="29" w:name="_Toc331421584"/>
      <w:r w:rsidRPr="005357E9">
        <w:t>Ben Chifley</w:t>
      </w:r>
      <w:bookmarkEnd w:id="29"/>
    </w:p>
    <w:p w:rsid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(1885–1951)</w:t>
      </w:r>
    </w:p>
    <w:p w:rsidR="005357E9" w:rsidRP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 xml:space="preserve">Prime Minister 1945–49, Australian </w:t>
      </w:r>
      <w:proofErr w:type="spellStart"/>
      <w:r w:rsidRPr="005357E9">
        <w:rPr>
          <w:rFonts w:ascii="Arial" w:hAnsi="Arial" w:cs="Arial"/>
        </w:rPr>
        <w:t>Labor</w:t>
      </w:r>
      <w:proofErr w:type="spellEnd"/>
      <w:r w:rsidRPr="005357E9">
        <w:rPr>
          <w:rFonts w:ascii="Arial" w:hAnsi="Arial" w:cs="Arial"/>
        </w:rPr>
        <w:t xml:space="preserve"> Party</w:t>
      </w:r>
    </w:p>
    <w:p w:rsidR="005357E9" w:rsidRP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Ben Chifley’s childhood in a wattle and daub hut outside Bathurst has become</w:t>
      </w:r>
      <w:r w:rsidR="005B0064">
        <w:rPr>
          <w:rFonts w:ascii="Arial" w:hAnsi="Arial" w:cs="Arial"/>
        </w:rPr>
        <w:t xml:space="preserve"> </w:t>
      </w:r>
      <w:proofErr w:type="spellStart"/>
      <w:r w:rsidRPr="005357E9">
        <w:rPr>
          <w:rFonts w:ascii="Arial" w:hAnsi="Arial" w:cs="Arial"/>
        </w:rPr>
        <w:t>Labor</w:t>
      </w:r>
      <w:proofErr w:type="spellEnd"/>
      <w:r w:rsidRPr="005357E9">
        <w:rPr>
          <w:rFonts w:ascii="Arial" w:hAnsi="Arial" w:cs="Arial"/>
        </w:rPr>
        <w:t xml:space="preserve"> legend. A railway worker and locomotive driver before he entered Parliament,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Chifley served as Curtin’s closest colleague and Treasurer throughout the Second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World War. As Prime Minister, he retained the respect of most Australians, even after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 xml:space="preserve">his unsuccessful attempt to nationalise the banks and </w:t>
      </w:r>
      <w:proofErr w:type="spellStart"/>
      <w:r w:rsidRPr="005357E9">
        <w:rPr>
          <w:rFonts w:ascii="Arial" w:hAnsi="Arial" w:cs="Arial"/>
        </w:rPr>
        <w:t>Labor’s</w:t>
      </w:r>
      <w:proofErr w:type="spellEnd"/>
      <w:r w:rsidRPr="005357E9">
        <w:rPr>
          <w:rFonts w:ascii="Arial" w:hAnsi="Arial" w:cs="Arial"/>
        </w:rPr>
        <w:t xml:space="preserve"> defeat in the 1949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election. His sudden death in 1951 overshadowed the celebration of Australia’s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first 50 years as a nation, and he lay in state in King’s Hall before a State funeral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at Bathurst.</w:t>
      </w:r>
    </w:p>
    <w:p w:rsidR="005357E9" w:rsidRPr="005357E9" w:rsidRDefault="005357E9" w:rsidP="005B0064">
      <w:pPr>
        <w:pStyle w:val="H2"/>
      </w:pPr>
      <w:bookmarkStart w:id="30" w:name="_Toc331421585"/>
      <w:r w:rsidRPr="005357E9">
        <w:t>Sir Robert Menzies</w:t>
      </w:r>
      <w:bookmarkEnd w:id="30"/>
    </w:p>
    <w:p w:rsid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(1894–1978)</w:t>
      </w:r>
    </w:p>
    <w:p w:rsidR="005357E9" w:rsidRP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Prime Minister 1949–66, Liberal Party of Australia</w:t>
      </w:r>
    </w:p>
    <w:p w:rsid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Robert Menzies’ second term as Prime Minister began in 1949, after the Coalition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 xml:space="preserve">took power in a landslide win over </w:t>
      </w:r>
      <w:proofErr w:type="spellStart"/>
      <w:r w:rsidRPr="005357E9">
        <w:rPr>
          <w:rFonts w:ascii="Arial" w:hAnsi="Arial" w:cs="Arial"/>
        </w:rPr>
        <w:t>Labor</w:t>
      </w:r>
      <w:proofErr w:type="spellEnd"/>
      <w:r w:rsidRPr="005357E9">
        <w:rPr>
          <w:rFonts w:ascii="Arial" w:hAnsi="Arial" w:cs="Arial"/>
        </w:rPr>
        <w:t>. He had been leader of the newly formed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 xml:space="preserve">Liberal Party </w:t>
      </w:r>
      <w:r w:rsidRPr="005357E9">
        <w:rPr>
          <w:rFonts w:ascii="Arial" w:hAnsi="Arial" w:cs="Arial"/>
        </w:rPr>
        <w:lastRenderedPageBreak/>
        <w:t>since its foundation in 1944, and shaped many of its policies. He retired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in 1966. Only he and Andrew Fisher, who resigned the prime ministership in 1915,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have chosen to depart the job voluntarily.</w:t>
      </w:r>
    </w:p>
    <w:p w:rsidR="005357E9" w:rsidRPr="005357E9" w:rsidRDefault="005357E9" w:rsidP="005B0064">
      <w:pPr>
        <w:pStyle w:val="H2"/>
      </w:pPr>
      <w:bookmarkStart w:id="31" w:name="_Toc331421586"/>
      <w:r w:rsidRPr="005357E9">
        <w:t>Harold Holt</w:t>
      </w:r>
      <w:bookmarkEnd w:id="31"/>
    </w:p>
    <w:p w:rsidR="005357E9" w:rsidRP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(1908–1967)</w:t>
      </w:r>
    </w:p>
    <w:p w:rsidR="005357E9" w:rsidRP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Prime Minister 1967, Liberal Party of Australia</w:t>
      </w:r>
    </w:p>
    <w:p w:rsidR="002A14E2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Harold Holt’s short-lived prime ministership ended in tragedy when he drowned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during the 1967 Christmas holidays. Holt entered Parliament during the re-shaping of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conservative political forces in the 1930s, and was closely associated with Sir Robert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Menzies throughout his career. His refuge from politics was a beach house at Portsea,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near where he drowned. He won an increased majority at the 1966 election, but his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death precipitated a long-running leadership crisis in the Liberal Party.</w:t>
      </w:r>
    </w:p>
    <w:p w:rsidR="002A14E2" w:rsidRPr="002A14E2" w:rsidRDefault="002A14E2" w:rsidP="005B0064">
      <w:pPr>
        <w:pStyle w:val="H2"/>
      </w:pPr>
      <w:bookmarkStart w:id="32" w:name="_Toc331421587"/>
      <w:r w:rsidRPr="002A14E2">
        <w:t>Sir John McEwen</w:t>
      </w:r>
      <w:bookmarkEnd w:id="32"/>
    </w:p>
    <w:p w:rsidR="002A14E2" w:rsidRPr="005357E9" w:rsidRDefault="002A14E2" w:rsidP="002A14E2">
      <w:pPr>
        <w:spacing w:after="0" w:line="240" w:lineRule="auto"/>
        <w:rPr>
          <w:rFonts w:ascii="Arial" w:hAnsi="Arial" w:cs="Arial"/>
        </w:rPr>
      </w:pPr>
      <w:r w:rsidRPr="002A14E2">
        <w:rPr>
          <w:rFonts w:ascii="Arial" w:hAnsi="Arial" w:cs="Arial"/>
        </w:rPr>
        <w:t>(1900–1980)</w:t>
      </w:r>
    </w:p>
    <w:p w:rsidR="005357E9" w:rsidRP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Prime Minister Dec 1967 – Jan 1968, Australian Country Party</w:t>
      </w:r>
    </w:p>
    <w:p w:rsidR="002A14E2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John McEwen was Deputy Prime Minister when Harold Holt drowned, and served as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Prime Minister while the Liberals chose a new leader. McEwen was a public servant,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a soldier and a farmer before entering Parliament. He was once expelled from his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party, after accepting a portfolio in the Lyons–Page Coalition Government in 1937.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He gained a reputation as a tough fighter for the interests of both farmers and the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Country Party. His particular foe within the Coalition was William McMahon, whom he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vetoed as Holt’s success</w:t>
      </w:r>
      <w:r w:rsidR="005B0064">
        <w:rPr>
          <w:rFonts w:ascii="Arial" w:hAnsi="Arial" w:cs="Arial"/>
        </w:rPr>
        <w:t>or.</w:t>
      </w:r>
    </w:p>
    <w:p w:rsidR="002A14E2" w:rsidRPr="002A14E2" w:rsidRDefault="002A14E2" w:rsidP="005B0064">
      <w:pPr>
        <w:pStyle w:val="H2"/>
      </w:pPr>
      <w:bookmarkStart w:id="33" w:name="_Toc331421588"/>
      <w:r w:rsidRPr="002A14E2">
        <w:t>John Gorton</w:t>
      </w:r>
      <w:bookmarkEnd w:id="33"/>
    </w:p>
    <w:p w:rsidR="002A14E2" w:rsidRDefault="002A14E2" w:rsidP="002A14E2">
      <w:pPr>
        <w:spacing w:after="0" w:line="240" w:lineRule="auto"/>
        <w:rPr>
          <w:rFonts w:ascii="Arial" w:hAnsi="Arial" w:cs="Arial"/>
        </w:rPr>
      </w:pPr>
      <w:r w:rsidRPr="002A14E2">
        <w:rPr>
          <w:rFonts w:ascii="Arial" w:hAnsi="Arial" w:cs="Arial"/>
        </w:rPr>
        <w:t>(1911–2002)</w:t>
      </w:r>
    </w:p>
    <w:p w:rsidR="005357E9" w:rsidRP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Prime Minister 1968–71, Liberal Party of Australia</w:t>
      </w:r>
    </w:p>
    <w:p w:rsid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John Gorton was appointed Prime Minister soon after the death of Harold Holt.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Earlier he had been elected to the federal Senat</w:t>
      </w:r>
      <w:r w:rsidR="005B0064">
        <w:rPr>
          <w:rFonts w:ascii="Arial" w:hAnsi="Arial" w:cs="Arial"/>
        </w:rPr>
        <w:t xml:space="preserve">e as a Liberal candidate in the </w:t>
      </w:r>
      <w:r w:rsidRPr="005357E9">
        <w:rPr>
          <w:rFonts w:ascii="Arial" w:hAnsi="Arial" w:cs="Arial"/>
        </w:rPr>
        <w:t>Menzies landslide of 1949. Gorton’s independent and e</w:t>
      </w:r>
      <w:r w:rsidR="005B0064">
        <w:rPr>
          <w:rFonts w:ascii="Arial" w:hAnsi="Arial" w:cs="Arial"/>
        </w:rPr>
        <w:t xml:space="preserve">xacting style of leadership put </w:t>
      </w:r>
      <w:r w:rsidRPr="005357E9">
        <w:rPr>
          <w:rFonts w:ascii="Arial" w:hAnsi="Arial" w:cs="Arial"/>
        </w:rPr>
        <w:t>him at odds with his own party. In early 1971, a party motion of confidence resulted in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a tied vote. Gorton used a casting vote to vote himself out of office. He remained on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the backbench until he resigned from the Liberal Party in 1975.</w:t>
      </w:r>
    </w:p>
    <w:p w:rsidR="002A14E2" w:rsidRPr="002A14E2" w:rsidRDefault="005B0064" w:rsidP="005B0064">
      <w:pPr>
        <w:pStyle w:val="H2"/>
      </w:pPr>
      <w:bookmarkStart w:id="34" w:name="_Toc331421589"/>
      <w:r>
        <w:t xml:space="preserve">Sir William </w:t>
      </w:r>
      <w:r w:rsidR="002A14E2" w:rsidRPr="002A14E2">
        <w:t>McMahon</w:t>
      </w:r>
      <w:bookmarkEnd w:id="34"/>
    </w:p>
    <w:p w:rsidR="002A14E2" w:rsidRDefault="002A14E2" w:rsidP="002A14E2">
      <w:pPr>
        <w:spacing w:after="0" w:line="240" w:lineRule="auto"/>
        <w:rPr>
          <w:rFonts w:ascii="Arial" w:hAnsi="Arial" w:cs="Arial"/>
        </w:rPr>
      </w:pPr>
      <w:r w:rsidRPr="002A14E2">
        <w:rPr>
          <w:rFonts w:ascii="Arial" w:hAnsi="Arial" w:cs="Arial"/>
        </w:rPr>
        <w:t>(1908–1988)</w:t>
      </w:r>
    </w:p>
    <w:p w:rsidR="005357E9" w:rsidRP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Prime Minister 1971–72, Liberal Party of Australia</w:t>
      </w:r>
    </w:p>
    <w:p w:rsidR="002A14E2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William McMahon’s career spanned 23 years, beginning with the Liberal triumph of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 xml:space="preserve">1949, when </w:t>
      </w:r>
      <w:proofErr w:type="spellStart"/>
      <w:r w:rsidRPr="005357E9">
        <w:rPr>
          <w:rFonts w:ascii="Arial" w:hAnsi="Arial" w:cs="Arial"/>
        </w:rPr>
        <w:t>Labor</w:t>
      </w:r>
      <w:proofErr w:type="spellEnd"/>
      <w:r w:rsidRPr="005357E9">
        <w:rPr>
          <w:rFonts w:ascii="Arial" w:hAnsi="Arial" w:cs="Arial"/>
        </w:rPr>
        <w:t xml:space="preserve"> was swept from power. Elected in 1949, after training as a lawyer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and economist, McMahon became Prime Minister in the closing days of Liberal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power after a long and very public struggle with John Gorton. He had a great deal of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ministerial experience, but paired with this was a history of internal party conflict and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distrust. His Government</w:t>
      </w:r>
      <w:r w:rsidR="005B0064">
        <w:rPr>
          <w:rFonts w:ascii="Arial" w:hAnsi="Arial" w:cs="Arial"/>
        </w:rPr>
        <w:t xml:space="preserve"> was defeated by </w:t>
      </w:r>
      <w:proofErr w:type="spellStart"/>
      <w:r w:rsidR="005B0064">
        <w:rPr>
          <w:rFonts w:ascii="Arial" w:hAnsi="Arial" w:cs="Arial"/>
        </w:rPr>
        <w:t>Labor</w:t>
      </w:r>
      <w:proofErr w:type="spellEnd"/>
      <w:r w:rsidR="005B0064">
        <w:rPr>
          <w:rFonts w:ascii="Arial" w:hAnsi="Arial" w:cs="Arial"/>
        </w:rPr>
        <w:t xml:space="preserve"> in 1972.</w:t>
      </w:r>
    </w:p>
    <w:p w:rsidR="002A14E2" w:rsidRPr="002A14E2" w:rsidRDefault="002A14E2" w:rsidP="005B0064">
      <w:pPr>
        <w:pStyle w:val="H2"/>
      </w:pPr>
      <w:bookmarkStart w:id="35" w:name="_Toc331421590"/>
      <w:r w:rsidRPr="002A14E2">
        <w:t>Gough Whitlam</w:t>
      </w:r>
      <w:bookmarkEnd w:id="35"/>
    </w:p>
    <w:p w:rsidR="002A14E2" w:rsidRDefault="002A14E2" w:rsidP="002A14E2">
      <w:pPr>
        <w:spacing w:after="0" w:line="240" w:lineRule="auto"/>
        <w:rPr>
          <w:rFonts w:ascii="Arial" w:hAnsi="Arial" w:cs="Arial"/>
        </w:rPr>
      </w:pPr>
      <w:r w:rsidRPr="002A14E2">
        <w:rPr>
          <w:rFonts w:ascii="Arial" w:hAnsi="Arial" w:cs="Arial"/>
        </w:rPr>
        <w:t>(1916–)</w:t>
      </w:r>
    </w:p>
    <w:p w:rsidR="002A14E2" w:rsidRP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 xml:space="preserve">Prime Minister 1972–75, Australian </w:t>
      </w:r>
      <w:proofErr w:type="spellStart"/>
      <w:r w:rsidRPr="005357E9">
        <w:rPr>
          <w:rFonts w:ascii="Arial" w:hAnsi="Arial" w:cs="Arial"/>
        </w:rPr>
        <w:t>Labor</w:t>
      </w:r>
      <w:proofErr w:type="spellEnd"/>
      <w:r w:rsidRPr="005357E9">
        <w:rPr>
          <w:rFonts w:ascii="Arial" w:hAnsi="Arial" w:cs="Arial"/>
        </w:rPr>
        <w:t xml:space="preserve"> Party</w:t>
      </w:r>
    </w:p>
    <w:p w:rsidR="002A14E2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Gough Whitlam entered Parliament in 1952 and made his early political career in the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 xml:space="preserve">worst years of the </w:t>
      </w:r>
      <w:proofErr w:type="spellStart"/>
      <w:r w:rsidRPr="005357E9">
        <w:rPr>
          <w:rFonts w:ascii="Arial" w:hAnsi="Arial" w:cs="Arial"/>
        </w:rPr>
        <w:t>Labor</w:t>
      </w:r>
      <w:proofErr w:type="spellEnd"/>
      <w:r w:rsidRPr="005357E9">
        <w:rPr>
          <w:rFonts w:ascii="Arial" w:hAnsi="Arial" w:cs="Arial"/>
        </w:rPr>
        <w:t xml:space="preserve"> Party Split, when it appeared his party might never govern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 xml:space="preserve">again. Through the 1960s, Whitlam reformed the </w:t>
      </w:r>
      <w:proofErr w:type="spellStart"/>
      <w:r w:rsidRPr="005357E9">
        <w:rPr>
          <w:rFonts w:ascii="Arial" w:hAnsi="Arial" w:cs="Arial"/>
        </w:rPr>
        <w:t>Labor</w:t>
      </w:r>
      <w:proofErr w:type="spellEnd"/>
      <w:r w:rsidRPr="005357E9">
        <w:rPr>
          <w:rFonts w:ascii="Arial" w:hAnsi="Arial" w:cs="Arial"/>
        </w:rPr>
        <w:t xml:space="preserve"> Party, modernising many of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its policies. He became Prime Minister in 1972 and won an early election in 1974,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forced by the threat of the Senate blocking money bills. In 1975, his Government was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dismissed by the Governor-General after the Senate refused to pass the money bills.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He was defeated by a massive Liberal lands</w:t>
      </w:r>
      <w:r w:rsidR="005B0064">
        <w:rPr>
          <w:rFonts w:ascii="Arial" w:hAnsi="Arial" w:cs="Arial"/>
        </w:rPr>
        <w:t>lide in the resulting election.</w:t>
      </w:r>
    </w:p>
    <w:p w:rsidR="002A14E2" w:rsidRPr="002A14E2" w:rsidRDefault="002A14E2" w:rsidP="005B0064">
      <w:pPr>
        <w:pStyle w:val="H2"/>
      </w:pPr>
      <w:bookmarkStart w:id="36" w:name="_Toc331421591"/>
      <w:r w:rsidRPr="002A14E2">
        <w:lastRenderedPageBreak/>
        <w:t>Malcolm Fraser</w:t>
      </w:r>
      <w:bookmarkEnd w:id="36"/>
    </w:p>
    <w:p w:rsidR="002A14E2" w:rsidRDefault="002A14E2" w:rsidP="002A14E2">
      <w:pPr>
        <w:spacing w:after="0" w:line="240" w:lineRule="auto"/>
        <w:rPr>
          <w:rFonts w:ascii="Arial" w:hAnsi="Arial" w:cs="Arial"/>
        </w:rPr>
      </w:pPr>
      <w:r w:rsidRPr="002A14E2">
        <w:rPr>
          <w:rFonts w:ascii="Arial" w:hAnsi="Arial" w:cs="Arial"/>
        </w:rPr>
        <w:t>(1930–)</w:t>
      </w:r>
    </w:p>
    <w:p w:rsidR="005357E9" w:rsidRP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Prime Minister 1975–83, Liberal Party of Australia</w:t>
      </w:r>
    </w:p>
    <w:p w:rsidR="002A14E2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Malcolm Fraser came to power during a time of crisis, following the dismissal of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Gough Whitlam after the Senate refused to pass the Government’s money bills. He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won the 1975 election with a massive landslide, gaining a House of Representatives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majority of 55. Fraser entered Parliament in his twenties, after studying at Melbourne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Grammar School and Oxford University. He played a leading role in the Liberal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infighting which led to the downfall of John Gorton as Prime Minister. His Government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 xml:space="preserve">was defeated by </w:t>
      </w:r>
      <w:proofErr w:type="spellStart"/>
      <w:r w:rsidRPr="005357E9">
        <w:rPr>
          <w:rFonts w:ascii="Arial" w:hAnsi="Arial" w:cs="Arial"/>
        </w:rPr>
        <w:t>Labor</w:t>
      </w:r>
      <w:proofErr w:type="spellEnd"/>
      <w:r w:rsidRPr="005357E9">
        <w:rPr>
          <w:rFonts w:ascii="Arial" w:hAnsi="Arial" w:cs="Arial"/>
        </w:rPr>
        <w:t xml:space="preserve"> in 1983.</w:t>
      </w:r>
    </w:p>
    <w:p w:rsidR="002A14E2" w:rsidRPr="002A14E2" w:rsidRDefault="002A14E2" w:rsidP="005B0064">
      <w:pPr>
        <w:pStyle w:val="H2"/>
      </w:pPr>
      <w:bookmarkStart w:id="37" w:name="_Toc331421592"/>
      <w:r w:rsidRPr="002A14E2">
        <w:t>Bob Hawke</w:t>
      </w:r>
      <w:bookmarkEnd w:id="37"/>
    </w:p>
    <w:p w:rsidR="002A14E2" w:rsidRPr="005357E9" w:rsidRDefault="002A14E2" w:rsidP="002A14E2">
      <w:pPr>
        <w:spacing w:after="0" w:line="240" w:lineRule="auto"/>
        <w:rPr>
          <w:rFonts w:ascii="Arial" w:hAnsi="Arial" w:cs="Arial"/>
        </w:rPr>
      </w:pPr>
      <w:r w:rsidRPr="002A14E2">
        <w:rPr>
          <w:rFonts w:ascii="Arial" w:hAnsi="Arial" w:cs="Arial"/>
        </w:rPr>
        <w:t>(1929–)</w:t>
      </w:r>
    </w:p>
    <w:p w:rsidR="005357E9" w:rsidRPr="005357E9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 xml:space="preserve">Prime Minister 1983–91, Australian </w:t>
      </w:r>
      <w:proofErr w:type="spellStart"/>
      <w:r w:rsidRPr="005357E9">
        <w:rPr>
          <w:rFonts w:ascii="Arial" w:hAnsi="Arial" w:cs="Arial"/>
        </w:rPr>
        <w:t>Labor</w:t>
      </w:r>
      <w:proofErr w:type="spellEnd"/>
      <w:r w:rsidRPr="005357E9">
        <w:rPr>
          <w:rFonts w:ascii="Arial" w:hAnsi="Arial" w:cs="Arial"/>
        </w:rPr>
        <w:t xml:space="preserve"> Party</w:t>
      </w:r>
    </w:p>
    <w:p w:rsidR="005357E9" w:rsidRPr="009B37CA" w:rsidRDefault="005357E9" w:rsidP="005357E9">
      <w:pPr>
        <w:spacing w:after="0" w:line="240" w:lineRule="auto"/>
        <w:rPr>
          <w:rFonts w:ascii="Arial" w:hAnsi="Arial" w:cs="Arial"/>
        </w:rPr>
      </w:pPr>
      <w:r w:rsidRPr="005357E9">
        <w:rPr>
          <w:rFonts w:ascii="Arial" w:hAnsi="Arial" w:cs="Arial"/>
        </w:rPr>
        <w:t>Bob Hawke was Prime Minister within three years of entering Parliament, and led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 xml:space="preserve">Australia for longer than any other </w:t>
      </w:r>
      <w:proofErr w:type="spellStart"/>
      <w:r w:rsidRPr="005357E9">
        <w:rPr>
          <w:rFonts w:ascii="Arial" w:hAnsi="Arial" w:cs="Arial"/>
        </w:rPr>
        <w:t>Labor</w:t>
      </w:r>
      <w:proofErr w:type="spellEnd"/>
      <w:r w:rsidRPr="005357E9">
        <w:rPr>
          <w:rFonts w:ascii="Arial" w:hAnsi="Arial" w:cs="Arial"/>
        </w:rPr>
        <w:t xml:space="preserve"> prime minister. Hawke’s early career was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in the trade union movement, which he represented in important wage cases in the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1960s. A brilliant advocate, he cultivated a popular larrikin image. He was President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of the Australian Council of Trade Unions from 1970 to 1980. His landslide win over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Malcolm Fraser’s Liberal/National Coalition in 1983 laid the foundations for 13 years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 xml:space="preserve">of </w:t>
      </w:r>
      <w:proofErr w:type="spellStart"/>
      <w:r w:rsidRPr="005357E9">
        <w:rPr>
          <w:rFonts w:ascii="Arial" w:hAnsi="Arial" w:cs="Arial"/>
        </w:rPr>
        <w:t>Labor</w:t>
      </w:r>
      <w:proofErr w:type="spellEnd"/>
      <w:r w:rsidRPr="005357E9">
        <w:rPr>
          <w:rFonts w:ascii="Arial" w:hAnsi="Arial" w:cs="Arial"/>
        </w:rPr>
        <w:t xml:space="preserve"> rule. During this time, </w:t>
      </w:r>
      <w:proofErr w:type="spellStart"/>
      <w:r w:rsidRPr="005357E9">
        <w:rPr>
          <w:rFonts w:ascii="Arial" w:hAnsi="Arial" w:cs="Arial"/>
        </w:rPr>
        <w:t>Labor</w:t>
      </w:r>
      <w:proofErr w:type="spellEnd"/>
      <w:r w:rsidRPr="005357E9">
        <w:rPr>
          <w:rFonts w:ascii="Arial" w:hAnsi="Arial" w:cs="Arial"/>
        </w:rPr>
        <w:t xml:space="preserve"> moved away from many of its traditional</w:t>
      </w:r>
      <w:r w:rsidR="005B0064">
        <w:rPr>
          <w:rFonts w:ascii="Arial" w:hAnsi="Arial" w:cs="Arial"/>
        </w:rPr>
        <w:t xml:space="preserve"> </w:t>
      </w:r>
      <w:r w:rsidRPr="005357E9">
        <w:rPr>
          <w:rFonts w:ascii="Arial" w:hAnsi="Arial" w:cs="Arial"/>
        </w:rPr>
        <w:t>industrial and trade policies.</w:t>
      </w:r>
    </w:p>
    <w:sectPr w:rsidR="005357E9" w:rsidRPr="009B37CA" w:rsidSect="00BC55B9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B9" w:rsidRDefault="00BC55B9" w:rsidP="00BC55B9">
      <w:pPr>
        <w:spacing w:after="0" w:line="240" w:lineRule="auto"/>
      </w:pPr>
      <w:r>
        <w:separator/>
      </w:r>
    </w:p>
  </w:endnote>
  <w:endnote w:type="continuationSeparator" w:id="0">
    <w:p w:rsidR="00BC55B9" w:rsidRDefault="00BC55B9" w:rsidP="00BC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8767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C55B9" w:rsidRPr="00BC55B9" w:rsidRDefault="00BC55B9">
        <w:pPr>
          <w:pStyle w:val="Footer"/>
          <w:jc w:val="right"/>
          <w:rPr>
            <w:rFonts w:ascii="Arial" w:hAnsi="Arial" w:cs="Arial"/>
          </w:rPr>
        </w:pPr>
        <w:r w:rsidRPr="00BC55B9">
          <w:rPr>
            <w:rFonts w:ascii="Arial" w:hAnsi="Arial" w:cs="Arial"/>
          </w:rPr>
          <w:fldChar w:fldCharType="begin"/>
        </w:r>
        <w:r w:rsidRPr="00BC55B9">
          <w:rPr>
            <w:rFonts w:ascii="Arial" w:hAnsi="Arial" w:cs="Arial"/>
          </w:rPr>
          <w:instrText xml:space="preserve"> PAGE   \* MERGEFORMAT </w:instrText>
        </w:r>
        <w:r w:rsidRPr="00BC55B9">
          <w:rPr>
            <w:rFonts w:ascii="Arial" w:hAnsi="Arial" w:cs="Arial"/>
          </w:rPr>
          <w:fldChar w:fldCharType="separate"/>
        </w:r>
        <w:r w:rsidR="005F7DFF">
          <w:rPr>
            <w:rFonts w:ascii="Arial" w:hAnsi="Arial" w:cs="Arial"/>
            <w:noProof/>
          </w:rPr>
          <w:t>2</w:t>
        </w:r>
        <w:r w:rsidRPr="00BC55B9">
          <w:rPr>
            <w:rFonts w:ascii="Arial" w:hAnsi="Arial" w:cs="Arial"/>
            <w:noProof/>
          </w:rPr>
          <w:fldChar w:fldCharType="end"/>
        </w:r>
      </w:p>
    </w:sdtContent>
  </w:sdt>
  <w:p w:rsidR="00BC55B9" w:rsidRDefault="00BC5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B9" w:rsidRDefault="00BC55B9" w:rsidP="00BC55B9">
      <w:pPr>
        <w:spacing w:after="0" w:line="240" w:lineRule="auto"/>
      </w:pPr>
      <w:r>
        <w:separator/>
      </w:r>
    </w:p>
  </w:footnote>
  <w:footnote w:type="continuationSeparator" w:id="0">
    <w:p w:rsidR="00BC55B9" w:rsidRDefault="00BC55B9" w:rsidP="00BC5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CA"/>
    <w:rsid w:val="000F1C15"/>
    <w:rsid w:val="002A14E2"/>
    <w:rsid w:val="0051270D"/>
    <w:rsid w:val="005357E9"/>
    <w:rsid w:val="005B0064"/>
    <w:rsid w:val="005F7DFF"/>
    <w:rsid w:val="006874D8"/>
    <w:rsid w:val="006C4A75"/>
    <w:rsid w:val="00743F98"/>
    <w:rsid w:val="007D1EC8"/>
    <w:rsid w:val="009B37CA"/>
    <w:rsid w:val="00BC55B9"/>
    <w:rsid w:val="00C6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accessible">
    <w:name w:val="Title-accessible"/>
    <w:basedOn w:val="Title"/>
    <w:autoRedefine/>
    <w:qFormat/>
    <w:rsid w:val="00743F98"/>
    <w:pPr>
      <w:pBdr>
        <w:bottom w:val="none" w:sz="0" w:space="0" w:color="auto"/>
      </w:pBdr>
      <w:spacing w:before="4080" w:after="0"/>
      <w:jc w:val="center"/>
    </w:pPr>
    <w:rPr>
      <w:rFonts w:ascii="Arial" w:hAnsi="Arial" w:cs="Arial"/>
      <w:color w:val="auto"/>
      <w:sz w:val="56"/>
      <w:szCs w:val="56"/>
    </w:rPr>
  </w:style>
  <w:style w:type="paragraph" w:customStyle="1" w:styleId="H1">
    <w:name w:val="H1"/>
    <w:basedOn w:val="Heading1"/>
    <w:autoRedefine/>
    <w:qFormat/>
    <w:rsid w:val="007D1EC8"/>
    <w:pPr>
      <w:spacing w:line="240" w:lineRule="auto"/>
    </w:pPr>
    <w:rPr>
      <w:rFonts w:ascii="Arial" w:hAnsi="Arial" w:cs="Arial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2A14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2">
    <w:name w:val="H2"/>
    <w:basedOn w:val="Heading2"/>
    <w:qFormat/>
    <w:rsid w:val="007D1EC8"/>
    <w:pPr>
      <w:spacing w:line="240" w:lineRule="auto"/>
    </w:pPr>
    <w:rPr>
      <w:rFonts w:ascii="Arial" w:hAnsi="Arial" w:cs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1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3">
    <w:name w:val="H3"/>
    <w:basedOn w:val="Heading3"/>
    <w:qFormat/>
    <w:rsid w:val="005B0064"/>
    <w:pPr>
      <w:spacing w:line="240" w:lineRule="auto"/>
    </w:pPr>
    <w:rPr>
      <w:rFonts w:ascii="Arial" w:hAnsi="Arial" w:cs="Arial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874D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0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B9"/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B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DF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7D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DFF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accessible">
    <w:name w:val="Title-accessible"/>
    <w:basedOn w:val="Title"/>
    <w:autoRedefine/>
    <w:qFormat/>
    <w:rsid w:val="00743F98"/>
    <w:pPr>
      <w:pBdr>
        <w:bottom w:val="none" w:sz="0" w:space="0" w:color="auto"/>
      </w:pBdr>
      <w:spacing w:before="4080" w:after="0"/>
      <w:jc w:val="center"/>
    </w:pPr>
    <w:rPr>
      <w:rFonts w:ascii="Arial" w:hAnsi="Arial" w:cs="Arial"/>
      <w:color w:val="auto"/>
      <w:sz w:val="56"/>
      <w:szCs w:val="56"/>
    </w:rPr>
  </w:style>
  <w:style w:type="paragraph" w:customStyle="1" w:styleId="H1">
    <w:name w:val="H1"/>
    <w:basedOn w:val="Heading1"/>
    <w:autoRedefine/>
    <w:qFormat/>
    <w:rsid w:val="007D1EC8"/>
    <w:pPr>
      <w:spacing w:line="240" w:lineRule="auto"/>
    </w:pPr>
    <w:rPr>
      <w:rFonts w:ascii="Arial" w:hAnsi="Arial" w:cs="Arial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2A14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2">
    <w:name w:val="H2"/>
    <w:basedOn w:val="Heading2"/>
    <w:qFormat/>
    <w:rsid w:val="007D1EC8"/>
    <w:pPr>
      <w:spacing w:line="240" w:lineRule="auto"/>
    </w:pPr>
    <w:rPr>
      <w:rFonts w:ascii="Arial" w:hAnsi="Arial" w:cs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1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3">
    <w:name w:val="H3"/>
    <w:basedOn w:val="Heading3"/>
    <w:qFormat/>
    <w:rsid w:val="005B0064"/>
    <w:pPr>
      <w:spacing w:line="240" w:lineRule="auto"/>
    </w:pPr>
    <w:rPr>
      <w:rFonts w:ascii="Arial" w:hAnsi="Arial" w:cs="Arial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874D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0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B9"/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B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DF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7D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DFF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adoph.gov.a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0961-C20B-44F6-A1CD-9A7B2235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F96C8FA7</Template>
  <TotalTime>81</TotalTime>
  <Pages>22</Pages>
  <Words>7207</Words>
  <Characters>41083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48194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Moloney, Rebecca</dc:creator>
  <cp:lastModifiedBy>Moloney, Rebecca</cp:lastModifiedBy>
  <cp:revision>6</cp:revision>
  <dcterms:created xsi:type="dcterms:W3CDTF">2012-07-26T05:27:00Z</dcterms:created>
  <dcterms:modified xsi:type="dcterms:W3CDTF">2012-07-30T04:25:00Z</dcterms:modified>
</cp:coreProperties>
</file>