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D5" w:rsidRDefault="000C5ADD" w:rsidP="00637824">
      <w:pPr>
        <w:shd w:val="clear" w:color="auto" w:fill="FFFFFF"/>
        <w:spacing w:after="0" w:line="360" w:lineRule="auto"/>
        <w:outlineLvl w:val="2"/>
        <w:rPr>
          <w:rFonts w:ascii="Arial" w:eastAsia="Times New Roman" w:hAnsi="Arial" w:cs="Arial"/>
          <w:color w:val="000000"/>
          <w:sz w:val="21"/>
          <w:szCs w:val="21"/>
          <w:shd w:val="clear" w:color="auto" w:fill="FFFFFF"/>
          <w:lang w:eastAsia="en-AU"/>
        </w:rPr>
      </w:pPr>
      <w:r>
        <w:rPr>
          <w:noProof/>
          <w:lang w:eastAsia="en-AU"/>
        </w:rPr>
        <w:drawing>
          <wp:anchor distT="0" distB="0" distL="114300" distR="114300" simplePos="0" relativeHeight="251659264" behindDoc="0" locked="0" layoutInCell="1" allowOverlap="1" wp14:anchorId="1D014A9C" wp14:editId="55980342">
            <wp:simplePos x="0" y="0"/>
            <wp:positionH relativeFrom="column">
              <wp:posOffset>2514600</wp:posOffset>
            </wp:positionH>
            <wp:positionV relativeFrom="paragraph">
              <wp:posOffset>10795</wp:posOffset>
            </wp:positionV>
            <wp:extent cx="949970" cy="933450"/>
            <wp:effectExtent l="0" t="0" r="254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129" cy="936554"/>
                    </a:xfrm>
                    <a:prstGeom prst="rect">
                      <a:avLst/>
                    </a:prstGeom>
                  </pic:spPr>
                </pic:pic>
              </a:graphicData>
            </a:graphic>
            <wp14:sizeRelH relativeFrom="margin">
              <wp14:pctWidth>0</wp14:pctWidth>
            </wp14:sizeRelH>
            <wp14:sizeRelV relativeFrom="margin">
              <wp14:pctHeight>0</wp14:pctHeight>
            </wp14:sizeRelV>
          </wp:anchor>
        </w:drawing>
      </w:r>
    </w:p>
    <w:p w:rsidR="000C5ADD" w:rsidRDefault="000C5ADD" w:rsidP="00637824">
      <w:pPr>
        <w:shd w:val="clear" w:color="auto" w:fill="FFFFFF"/>
        <w:spacing w:after="0" w:line="360" w:lineRule="auto"/>
        <w:outlineLvl w:val="2"/>
        <w:rPr>
          <w:rFonts w:ascii="Arial" w:eastAsia="Times New Roman" w:hAnsi="Arial" w:cs="Arial"/>
          <w:color w:val="000000"/>
          <w:sz w:val="21"/>
          <w:szCs w:val="21"/>
          <w:shd w:val="clear" w:color="auto" w:fill="FFFFFF"/>
          <w:lang w:eastAsia="en-AU"/>
        </w:rPr>
      </w:pPr>
    </w:p>
    <w:p w:rsidR="000C5ADD" w:rsidRDefault="000C5ADD" w:rsidP="00637824">
      <w:pPr>
        <w:shd w:val="clear" w:color="auto" w:fill="FFFFFF"/>
        <w:spacing w:after="0" w:line="360" w:lineRule="auto"/>
        <w:outlineLvl w:val="2"/>
        <w:rPr>
          <w:rFonts w:ascii="Arial" w:eastAsia="Times New Roman" w:hAnsi="Arial" w:cs="Arial"/>
          <w:color w:val="000000"/>
          <w:sz w:val="21"/>
          <w:szCs w:val="21"/>
          <w:shd w:val="clear" w:color="auto" w:fill="FFFFFF"/>
          <w:lang w:eastAsia="en-AU"/>
        </w:rPr>
      </w:pPr>
    </w:p>
    <w:p w:rsidR="000C5ADD" w:rsidRDefault="000C5ADD" w:rsidP="00637824">
      <w:pPr>
        <w:shd w:val="clear" w:color="auto" w:fill="FFFFFF"/>
        <w:spacing w:after="0" w:line="360" w:lineRule="auto"/>
        <w:outlineLvl w:val="2"/>
        <w:rPr>
          <w:rFonts w:ascii="Arial" w:eastAsia="Times New Roman" w:hAnsi="Arial" w:cs="Arial"/>
          <w:color w:val="000000"/>
          <w:sz w:val="21"/>
          <w:szCs w:val="21"/>
          <w:shd w:val="clear" w:color="auto" w:fill="FFFFFF"/>
          <w:lang w:eastAsia="en-AU"/>
        </w:rPr>
      </w:pPr>
    </w:p>
    <w:p w:rsidR="000C5ADD" w:rsidRDefault="000C5ADD" w:rsidP="00637824">
      <w:pPr>
        <w:shd w:val="clear" w:color="auto" w:fill="FFFFFF"/>
        <w:spacing w:after="0" w:line="360" w:lineRule="auto"/>
        <w:outlineLvl w:val="2"/>
        <w:rPr>
          <w:rFonts w:ascii="Arial" w:eastAsia="Times New Roman" w:hAnsi="Arial" w:cs="Arial"/>
          <w:color w:val="000000"/>
          <w:sz w:val="21"/>
          <w:szCs w:val="21"/>
          <w:shd w:val="clear" w:color="auto" w:fill="FFFFFF"/>
          <w:lang w:eastAsia="en-AU"/>
        </w:rPr>
      </w:pPr>
    </w:p>
    <w:tbl>
      <w:tblPr>
        <w:tblStyle w:val="TableGrid"/>
        <w:tblW w:w="0" w:type="auto"/>
        <w:tblLook w:val="04A0" w:firstRow="1" w:lastRow="0" w:firstColumn="1" w:lastColumn="0" w:noHBand="0" w:noVBand="1"/>
      </w:tblPr>
      <w:tblGrid>
        <w:gridCol w:w="1910"/>
        <w:gridCol w:w="7106"/>
      </w:tblGrid>
      <w:tr w:rsidR="000C5ADD" w:rsidTr="00A236D7">
        <w:trPr>
          <w:trHeight w:val="907"/>
        </w:trPr>
        <w:tc>
          <w:tcPr>
            <w:tcW w:w="1750" w:type="dxa"/>
            <w:vAlign w:val="center"/>
          </w:tcPr>
          <w:p w:rsidR="000C5ADD" w:rsidRPr="00637824" w:rsidRDefault="000C5ADD" w:rsidP="005A3AA8">
            <w:pPr>
              <w:spacing w:before="150" w:after="60"/>
              <w:outlineLvl w:val="1"/>
              <w:rPr>
                <w:rFonts w:ascii="Arial" w:eastAsia="Times New Roman" w:hAnsi="Arial" w:cs="Arial"/>
                <w:b/>
                <w:bCs/>
                <w:sz w:val="24"/>
                <w:szCs w:val="24"/>
                <w:lang w:eastAsia="en-AU"/>
              </w:rPr>
            </w:pPr>
            <w:r w:rsidRPr="00637824">
              <w:rPr>
                <w:rFonts w:ascii="Arial" w:eastAsia="Times New Roman" w:hAnsi="Arial" w:cs="Arial"/>
                <w:b/>
                <w:bCs/>
                <w:sz w:val="24"/>
                <w:szCs w:val="24"/>
                <w:lang w:eastAsia="en-AU"/>
              </w:rPr>
              <w:t>Job Title</w:t>
            </w:r>
          </w:p>
        </w:tc>
        <w:tc>
          <w:tcPr>
            <w:tcW w:w="7266" w:type="dxa"/>
            <w:vAlign w:val="center"/>
          </w:tcPr>
          <w:p w:rsidR="000C5ADD" w:rsidRPr="00755150" w:rsidRDefault="000C5ADD" w:rsidP="005A3AA8">
            <w:pPr>
              <w:spacing w:before="150" w:after="60"/>
              <w:outlineLvl w:val="1"/>
              <w:rPr>
                <w:rFonts w:ascii="Arial" w:eastAsia="Times New Roman" w:hAnsi="Arial" w:cs="Arial"/>
                <w:bCs/>
                <w:lang w:eastAsia="en-AU"/>
              </w:rPr>
            </w:pPr>
            <w:r w:rsidRPr="00755150">
              <w:rPr>
                <w:rFonts w:ascii="Arial" w:eastAsia="Times New Roman" w:hAnsi="Arial" w:cs="Arial"/>
                <w:bCs/>
                <w:lang w:eastAsia="en-AU"/>
              </w:rPr>
              <w:t>Temporary Employment Register</w:t>
            </w:r>
          </w:p>
        </w:tc>
      </w:tr>
      <w:tr w:rsidR="000C5ADD" w:rsidTr="00A236D7">
        <w:trPr>
          <w:trHeight w:val="907"/>
        </w:trPr>
        <w:tc>
          <w:tcPr>
            <w:tcW w:w="1750" w:type="dxa"/>
            <w:shd w:val="clear" w:color="auto" w:fill="F2F2F2" w:themeFill="background1" w:themeFillShade="F2"/>
            <w:vAlign w:val="center"/>
          </w:tcPr>
          <w:p w:rsidR="000C5ADD" w:rsidRPr="00637824" w:rsidRDefault="000C5ADD" w:rsidP="005A3AA8">
            <w:pPr>
              <w:spacing w:before="150" w:after="60"/>
              <w:outlineLvl w:val="1"/>
              <w:rPr>
                <w:rFonts w:ascii="Arial" w:eastAsia="Times New Roman" w:hAnsi="Arial" w:cs="Arial"/>
                <w:b/>
                <w:bCs/>
                <w:sz w:val="24"/>
                <w:szCs w:val="24"/>
                <w:lang w:eastAsia="en-AU"/>
              </w:rPr>
            </w:pPr>
            <w:r w:rsidRPr="00637824">
              <w:rPr>
                <w:rFonts w:ascii="Arial" w:eastAsia="Times New Roman" w:hAnsi="Arial" w:cs="Arial"/>
                <w:b/>
                <w:bCs/>
                <w:sz w:val="24"/>
                <w:szCs w:val="24"/>
                <w:lang w:eastAsia="en-AU"/>
              </w:rPr>
              <w:t>Section</w:t>
            </w:r>
          </w:p>
        </w:tc>
        <w:tc>
          <w:tcPr>
            <w:tcW w:w="7266" w:type="dxa"/>
            <w:shd w:val="clear" w:color="auto" w:fill="F2F2F2" w:themeFill="background1" w:themeFillShade="F2"/>
            <w:vAlign w:val="center"/>
          </w:tcPr>
          <w:p w:rsidR="000C5ADD" w:rsidRPr="00755150" w:rsidRDefault="000C5ADD" w:rsidP="005A3AA8">
            <w:pPr>
              <w:spacing w:before="150" w:after="60"/>
              <w:outlineLvl w:val="1"/>
              <w:rPr>
                <w:rFonts w:ascii="Arial" w:eastAsia="Times New Roman" w:hAnsi="Arial" w:cs="Arial"/>
                <w:bCs/>
                <w:lang w:eastAsia="en-AU"/>
              </w:rPr>
            </w:pPr>
            <w:r w:rsidRPr="00755150">
              <w:rPr>
                <w:rFonts w:ascii="Arial" w:eastAsia="Times New Roman" w:hAnsi="Arial" w:cs="Arial"/>
                <w:bCs/>
                <w:lang w:eastAsia="en-AU"/>
              </w:rPr>
              <w:t>Various</w:t>
            </w:r>
          </w:p>
        </w:tc>
      </w:tr>
      <w:tr w:rsidR="000C5ADD" w:rsidTr="00A236D7">
        <w:trPr>
          <w:trHeight w:val="907"/>
        </w:trPr>
        <w:tc>
          <w:tcPr>
            <w:tcW w:w="1750" w:type="dxa"/>
            <w:vAlign w:val="center"/>
          </w:tcPr>
          <w:p w:rsidR="000C5ADD" w:rsidRPr="00637824" w:rsidRDefault="000C5ADD" w:rsidP="005A3AA8">
            <w:pPr>
              <w:spacing w:before="150" w:after="60"/>
              <w:outlineLvl w:val="1"/>
              <w:rPr>
                <w:rFonts w:ascii="Arial" w:eastAsia="Times New Roman" w:hAnsi="Arial" w:cs="Arial"/>
                <w:b/>
                <w:bCs/>
                <w:sz w:val="24"/>
                <w:szCs w:val="24"/>
                <w:lang w:eastAsia="en-AU"/>
              </w:rPr>
            </w:pPr>
            <w:r w:rsidRPr="00637824">
              <w:rPr>
                <w:rFonts w:ascii="Arial" w:eastAsia="Times New Roman" w:hAnsi="Arial" w:cs="Arial"/>
                <w:b/>
                <w:bCs/>
                <w:sz w:val="24"/>
                <w:szCs w:val="24"/>
                <w:lang w:eastAsia="en-AU"/>
              </w:rPr>
              <w:t>Team</w:t>
            </w:r>
          </w:p>
        </w:tc>
        <w:tc>
          <w:tcPr>
            <w:tcW w:w="7266" w:type="dxa"/>
            <w:vAlign w:val="center"/>
          </w:tcPr>
          <w:p w:rsidR="000C5ADD" w:rsidRPr="00755150" w:rsidRDefault="000C5ADD" w:rsidP="005A3AA8">
            <w:pPr>
              <w:spacing w:before="150" w:after="60"/>
              <w:outlineLvl w:val="1"/>
              <w:rPr>
                <w:rFonts w:ascii="Arial" w:eastAsia="Times New Roman" w:hAnsi="Arial" w:cs="Arial"/>
                <w:bCs/>
                <w:lang w:eastAsia="en-AU"/>
              </w:rPr>
            </w:pPr>
            <w:r w:rsidRPr="00755150">
              <w:rPr>
                <w:rFonts w:ascii="Arial" w:eastAsia="Times New Roman" w:hAnsi="Arial" w:cs="Arial"/>
                <w:bCs/>
                <w:lang w:eastAsia="en-AU"/>
              </w:rPr>
              <w:t>Various</w:t>
            </w:r>
          </w:p>
        </w:tc>
      </w:tr>
      <w:tr w:rsidR="000C5ADD" w:rsidTr="00A236D7">
        <w:trPr>
          <w:trHeight w:val="907"/>
        </w:trPr>
        <w:tc>
          <w:tcPr>
            <w:tcW w:w="1750" w:type="dxa"/>
            <w:shd w:val="clear" w:color="auto" w:fill="F2F2F2" w:themeFill="background1" w:themeFillShade="F2"/>
            <w:vAlign w:val="center"/>
          </w:tcPr>
          <w:p w:rsidR="000C5ADD" w:rsidRPr="00637824" w:rsidRDefault="000C5ADD" w:rsidP="005A3AA8">
            <w:pPr>
              <w:spacing w:before="150" w:after="60"/>
              <w:outlineLvl w:val="1"/>
              <w:rPr>
                <w:rFonts w:ascii="Arial" w:eastAsia="Times New Roman" w:hAnsi="Arial" w:cs="Arial"/>
                <w:b/>
                <w:bCs/>
                <w:sz w:val="24"/>
                <w:szCs w:val="24"/>
                <w:lang w:eastAsia="en-AU"/>
              </w:rPr>
            </w:pPr>
            <w:r w:rsidRPr="00637824">
              <w:rPr>
                <w:rFonts w:ascii="Arial" w:eastAsia="Times New Roman" w:hAnsi="Arial" w:cs="Arial"/>
                <w:b/>
                <w:bCs/>
                <w:sz w:val="24"/>
                <w:szCs w:val="24"/>
                <w:lang w:eastAsia="en-AU"/>
              </w:rPr>
              <w:t>Job Type</w:t>
            </w:r>
          </w:p>
        </w:tc>
        <w:tc>
          <w:tcPr>
            <w:tcW w:w="7266" w:type="dxa"/>
            <w:shd w:val="clear" w:color="auto" w:fill="F2F2F2" w:themeFill="background1" w:themeFillShade="F2"/>
            <w:vAlign w:val="center"/>
          </w:tcPr>
          <w:p w:rsidR="000C5ADD" w:rsidRPr="00755150" w:rsidRDefault="000C5ADD" w:rsidP="005A3AA8">
            <w:pPr>
              <w:spacing w:before="150" w:after="60"/>
              <w:outlineLvl w:val="1"/>
              <w:rPr>
                <w:rFonts w:ascii="Arial" w:eastAsia="Times New Roman" w:hAnsi="Arial" w:cs="Arial"/>
                <w:bCs/>
                <w:lang w:eastAsia="en-AU"/>
              </w:rPr>
            </w:pPr>
            <w:r w:rsidRPr="00755150">
              <w:rPr>
                <w:rFonts w:ascii="Arial" w:eastAsia="Times New Roman" w:hAnsi="Arial" w:cs="Arial"/>
                <w:bCs/>
                <w:lang w:eastAsia="en-AU"/>
              </w:rPr>
              <w:t>Non-Ongoing (Temporary), Full-time, Part-time, Casual</w:t>
            </w:r>
          </w:p>
        </w:tc>
      </w:tr>
      <w:tr w:rsidR="000C5ADD" w:rsidTr="00A236D7">
        <w:trPr>
          <w:trHeight w:val="907"/>
        </w:trPr>
        <w:tc>
          <w:tcPr>
            <w:tcW w:w="1750" w:type="dxa"/>
            <w:vAlign w:val="center"/>
          </w:tcPr>
          <w:p w:rsidR="000C5ADD" w:rsidRPr="00637824" w:rsidRDefault="000C5ADD" w:rsidP="005A3AA8">
            <w:pPr>
              <w:spacing w:before="150" w:after="60"/>
              <w:outlineLvl w:val="1"/>
              <w:rPr>
                <w:rFonts w:ascii="Arial" w:eastAsia="Times New Roman" w:hAnsi="Arial" w:cs="Arial"/>
                <w:b/>
                <w:bCs/>
                <w:sz w:val="24"/>
                <w:szCs w:val="24"/>
                <w:lang w:eastAsia="en-AU"/>
              </w:rPr>
            </w:pPr>
            <w:r w:rsidRPr="00637824">
              <w:rPr>
                <w:rFonts w:ascii="Arial" w:eastAsia="Times New Roman" w:hAnsi="Arial" w:cs="Arial"/>
                <w:b/>
                <w:bCs/>
                <w:sz w:val="24"/>
                <w:szCs w:val="24"/>
                <w:lang w:eastAsia="en-AU"/>
              </w:rPr>
              <w:t>Salary</w:t>
            </w:r>
          </w:p>
        </w:tc>
        <w:tc>
          <w:tcPr>
            <w:tcW w:w="7266" w:type="dxa"/>
            <w:vAlign w:val="center"/>
          </w:tcPr>
          <w:p w:rsidR="000C5ADD" w:rsidRPr="00755150" w:rsidRDefault="000C5ADD" w:rsidP="005A3AA8">
            <w:pPr>
              <w:spacing w:before="150" w:after="60"/>
              <w:outlineLvl w:val="1"/>
              <w:rPr>
                <w:rFonts w:ascii="Arial" w:eastAsia="Times New Roman" w:hAnsi="Arial" w:cs="Arial"/>
                <w:bCs/>
                <w:lang w:eastAsia="en-AU"/>
              </w:rPr>
            </w:pPr>
            <w:r w:rsidRPr="00755150">
              <w:rPr>
                <w:rFonts w:ascii="Arial" w:eastAsia="Times New Roman" w:hAnsi="Arial" w:cs="Arial"/>
                <w:bCs/>
                <w:lang w:eastAsia="en-AU"/>
              </w:rPr>
              <w:t xml:space="preserve">$58,123 - $143,454 + 15.4% superannuation </w:t>
            </w:r>
          </w:p>
          <w:p w:rsidR="000C5ADD" w:rsidRPr="00755150" w:rsidRDefault="000C5ADD" w:rsidP="005A3AA8">
            <w:pPr>
              <w:spacing w:before="150" w:after="60"/>
              <w:outlineLvl w:val="1"/>
              <w:rPr>
                <w:rFonts w:ascii="Arial" w:eastAsia="Times New Roman" w:hAnsi="Arial" w:cs="Arial"/>
                <w:bCs/>
                <w:lang w:eastAsia="en-AU"/>
              </w:rPr>
            </w:pPr>
            <w:r w:rsidRPr="00755150">
              <w:rPr>
                <w:rFonts w:ascii="Arial" w:eastAsia="Times New Roman" w:hAnsi="Arial" w:cs="Arial"/>
                <w:bCs/>
                <w:lang w:eastAsia="en-AU"/>
              </w:rPr>
              <w:t>Some positions may attract penalty rates and loading</w:t>
            </w:r>
          </w:p>
        </w:tc>
      </w:tr>
      <w:tr w:rsidR="000C5ADD" w:rsidTr="00A236D7">
        <w:trPr>
          <w:trHeight w:val="907"/>
        </w:trPr>
        <w:tc>
          <w:tcPr>
            <w:tcW w:w="1750" w:type="dxa"/>
            <w:shd w:val="clear" w:color="auto" w:fill="F2F2F2" w:themeFill="background1" w:themeFillShade="F2"/>
            <w:vAlign w:val="center"/>
          </w:tcPr>
          <w:p w:rsidR="000C5ADD" w:rsidRPr="00637824" w:rsidRDefault="000C5ADD" w:rsidP="005A3AA8">
            <w:pPr>
              <w:spacing w:before="150" w:after="60"/>
              <w:outlineLvl w:val="1"/>
              <w:rPr>
                <w:rFonts w:ascii="Arial" w:eastAsia="Times New Roman" w:hAnsi="Arial" w:cs="Arial"/>
                <w:b/>
                <w:bCs/>
                <w:sz w:val="24"/>
                <w:szCs w:val="24"/>
                <w:lang w:eastAsia="en-AU"/>
              </w:rPr>
            </w:pPr>
            <w:r w:rsidRPr="00637824">
              <w:rPr>
                <w:rFonts w:ascii="Arial" w:eastAsia="Times New Roman" w:hAnsi="Arial" w:cs="Arial"/>
                <w:b/>
                <w:bCs/>
                <w:sz w:val="24"/>
                <w:szCs w:val="24"/>
                <w:lang w:eastAsia="en-AU"/>
              </w:rPr>
              <w:t>Classifications</w:t>
            </w:r>
          </w:p>
        </w:tc>
        <w:tc>
          <w:tcPr>
            <w:tcW w:w="7266" w:type="dxa"/>
            <w:shd w:val="clear" w:color="auto" w:fill="F2F2F2" w:themeFill="background1" w:themeFillShade="F2"/>
            <w:vAlign w:val="center"/>
          </w:tcPr>
          <w:p w:rsidR="000C5ADD" w:rsidRPr="00755150" w:rsidRDefault="000C5ADD" w:rsidP="005A3AA8">
            <w:pPr>
              <w:spacing w:before="150" w:after="60"/>
              <w:outlineLvl w:val="1"/>
              <w:rPr>
                <w:rFonts w:ascii="Arial" w:eastAsia="Times New Roman" w:hAnsi="Arial" w:cs="Arial"/>
                <w:bCs/>
                <w:lang w:eastAsia="en-AU"/>
              </w:rPr>
            </w:pPr>
            <w:r w:rsidRPr="00755150">
              <w:rPr>
                <w:rFonts w:ascii="Arial" w:eastAsia="Times New Roman" w:hAnsi="Arial" w:cs="Arial"/>
                <w:bCs/>
                <w:lang w:eastAsia="en-AU"/>
              </w:rPr>
              <w:t xml:space="preserve">APS Level, 3, APS Level 4, APS Level 5, APS Level 6, </w:t>
            </w:r>
          </w:p>
          <w:p w:rsidR="000C5ADD" w:rsidRPr="00755150" w:rsidRDefault="000C5ADD" w:rsidP="005A3AA8">
            <w:pPr>
              <w:spacing w:before="150" w:after="60"/>
              <w:outlineLvl w:val="1"/>
              <w:rPr>
                <w:rFonts w:ascii="Arial" w:eastAsia="Times New Roman" w:hAnsi="Arial" w:cs="Arial"/>
                <w:bCs/>
                <w:lang w:eastAsia="en-AU"/>
              </w:rPr>
            </w:pPr>
            <w:r w:rsidRPr="00755150">
              <w:rPr>
                <w:rFonts w:ascii="Arial" w:eastAsia="Times New Roman" w:hAnsi="Arial" w:cs="Arial"/>
                <w:bCs/>
                <w:lang w:eastAsia="en-AU"/>
              </w:rPr>
              <w:t>Executive Level 1 and Executive Level 2</w:t>
            </w:r>
          </w:p>
        </w:tc>
      </w:tr>
      <w:tr w:rsidR="000C5ADD" w:rsidTr="00A236D7">
        <w:trPr>
          <w:trHeight w:val="907"/>
        </w:trPr>
        <w:tc>
          <w:tcPr>
            <w:tcW w:w="1750" w:type="dxa"/>
            <w:vAlign w:val="center"/>
          </w:tcPr>
          <w:p w:rsidR="000C5ADD" w:rsidRPr="00637824" w:rsidRDefault="000C5ADD" w:rsidP="005A3AA8">
            <w:pPr>
              <w:spacing w:before="150" w:after="60"/>
              <w:outlineLvl w:val="1"/>
              <w:rPr>
                <w:rFonts w:ascii="Arial" w:eastAsia="Times New Roman" w:hAnsi="Arial" w:cs="Arial"/>
                <w:b/>
                <w:bCs/>
                <w:sz w:val="24"/>
                <w:szCs w:val="24"/>
                <w:lang w:eastAsia="en-AU"/>
              </w:rPr>
            </w:pPr>
            <w:r w:rsidRPr="00637824">
              <w:rPr>
                <w:rFonts w:ascii="Arial" w:eastAsia="Times New Roman" w:hAnsi="Arial" w:cs="Arial"/>
                <w:b/>
                <w:bCs/>
                <w:sz w:val="24"/>
                <w:szCs w:val="24"/>
                <w:lang w:eastAsia="en-AU"/>
              </w:rPr>
              <w:t xml:space="preserve">Eligibility </w:t>
            </w:r>
          </w:p>
        </w:tc>
        <w:tc>
          <w:tcPr>
            <w:tcW w:w="7266" w:type="dxa"/>
            <w:vAlign w:val="center"/>
          </w:tcPr>
          <w:p w:rsidR="000C5ADD" w:rsidRPr="00A236D7" w:rsidRDefault="0004587A" w:rsidP="00A236D7">
            <w:pPr>
              <w:pStyle w:val="ListParagraph"/>
              <w:numPr>
                <w:ilvl w:val="0"/>
                <w:numId w:val="3"/>
              </w:numPr>
              <w:rPr>
                <w:rFonts w:ascii="Arial" w:eastAsia="Times New Roman" w:hAnsi="Arial" w:cs="Arial"/>
                <w:color w:val="000000"/>
                <w:shd w:val="clear" w:color="auto" w:fill="FFFFFF"/>
                <w:lang w:eastAsia="en-AU"/>
              </w:rPr>
            </w:pPr>
            <w:r w:rsidRPr="00A236D7">
              <w:rPr>
                <w:rFonts w:ascii="Arial" w:eastAsia="Times New Roman" w:hAnsi="Arial" w:cs="Arial"/>
                <w:color w:val="000000"/>
                <w:shd w:val="clear" w:color="auto" w:fill="FFFFFF"/>
                <w:lang w:eastAsia="en-AU"/>
              </w:rPr>
              <w:t>hold Australian Citizenship;</w:t>
            </w:r>
          </w:p>
          <w:p w:rsidR="00A236D7" w:rsidRPr="00A236D7" w:rsidRDefault="000C5ADD" w:rsidP="00A236D7">
            <w:pPr>
              <w:pStyle w:val="ListParagraph"/>
              <w:numPr>
                <w:ilvl w:val="0"/>
                <w:numId w:val="3"/>
              </w:numPr>
              <w:rPr>
                <w:rFonts w:ascii="Arial" w:eastAsia="Times New Roman" w:hAnsi="Arial" w:cs="Arial"/>
                <w:bCs/>
                <w:lang w:eastAsia="en-AU"/>
              </w:rPr>
            </w:pPr>
            <w:r w:rsidRPr="00A236D7">
              <w:rPr>
                <w:rFonts w:ascii="Arial" w:eastAsia="Times New Roman" w:hAnsi="Arial" w:cs="Arial"/>
                <w:color w:val="000000"/>
                <w:shd w:val="clear" w:color="auto" w:fill="FFFFFF"/>
                <w:lang w:eastAsia="en-AU"/>
              </w:rPr>
              <w:t xml:space="preserve">be willing to obtain </w:t>
            </w:r>
            <w:r w:rsidR="0004587A" w:rsidRPr="00A236D7">
              <w:rPr>
                <w:rFonts w:ascii="Arial" w:eastAsia="Times New Roman" w:hAnsi="Arial" w:cs="Arial"/>
                <w:color w:val="000000"/>
                <w:shd w:val="clear" w:color="auto" w:fill="FFFFFF"/>
                <w:lang w:eastAsia="en-AU"/>
              </w:rPr>
              <w:t xml:space="preserve">(after commencement) and maintain a </w:t>
            </w:r>
            <w:r w:rsidRPr="00A236D7">
              <w:rPr>
                <w:rFonts w:ascii="Arial" w:eastAsia="Times New Roman" w:hAnsi="Arial" w:cs="Arial"/>
                <w:color w:val="000000"/>
                <w:shd w:val="clear" w:color="auto" w:fill="FFFFFF"/>
                <w:lang w:eastAsia="en-AU"/>
              </w:rPr>
              <w:t xml:space="preserve">security clearance at the level of </w:t>
            </w:r>
            <w:r w:rsidR="0004587A" w:rsidRPr="00A236D7">
              <w:rPr>
                <w:rFonts w:ascii="Arial" w:eastAsia="Times New Roman" w:hAnsi="Arial" w:cs="Arial"/>
                <w:color w:val="000000"/>
                <w:shd w:val="clear" w:color="auto" w:fill="FFFFFF"/>
                <w:lang w:eastAsia="en-AU"/>
              </w:rPr>
              <w:t>b</w:t>
            </w:r>
            <w:r w:rsidRPr="00A236D7">
              <w:rPr>
                <w:rFonts w:ascii="Arial" w:eastAsia="Times New Roman" w:hAnsi="Arial" w:cs="Arial"/>
                <w:color w:val="000000"/>
                <w:shd w:val="clear" w:color="auto" w:fill="FFFFFF"/>
                <w:lang w:eastAsia="en-AU"/>
              </w:rPr>
              <w:t>aseline</w:t>
            </w:r>
            <w:r w:rsidR="0004587A" w:rsidRPr="00A236D7">
              <w:rPr>
                <w:rFonts w:ascii="Arial" w:eastAsia="Times New Roman" w:hAnsi="Arial" w:cs="Arial"/>
                <w:color w:val="000000"/>
                <w:shd w:val="clear" w:color="auto" w:fill="FFFFFF"/>
                <w:lang w:eastAsia="en-AU"/>
              </w:rPr>
              <w:t>; and</w:t>
            </w:r>
            <w:r w:rsidR="00A236D7" w:rsidRPr="00A236D7">
              <w:rPr>
                <w:rFonts w:ascii="Arial" w:eastAsia="Times New Roman" w:hAnsi="Arial" w:cs="Arial"/>
                <w:color w:val="000000"/>
                <w:shd w:val="clear" w:color="auto" w:fill="FFFFFF"/>
                <w:lang w:eastAsia="en-AU"/>
              </w:rPr>
              <w:t xml:space="preserve"> </w:t>
            </w:r>
          </w:p>
          <w:p w:rsidR="000C5ADD" w:rsidRPr="00A236D7" w:rsidRDefault="0004587A" w:rsidP="00A236D7">
            <w:pPr>
              <w:pStyle w:val="ListParagraph"/>
              <w:numPr>
                <w:ilvl w:val="0"/>
                <w:numId w:val="3"/>
              </w:numPr>
              <w:rPr>
                <w:rFonts w:ascii="Arial" w:eastAsia="Times New Roman" w:hAnsi="Arial" w:cs="Arial"/>
                <w:bCs/>
                <w:lang w:eastAsia="en-AU"/>
              </w:rPr>
            </w:pPr>
            <w:r w:rsidRPr="00A236D7">
              <w:rPr>
                <w:rFonts w:ascii="Arial" w:eastAsia="Times New Roman" w:hAnsi="Arial" w:cs="Arial"/>
                <w:color w:val="000000"/>
                <w:shd w:val="clear" w:color="auto" w:fill="FFFFFF"/>
                <w:lang w:eastAsia="en-AU"/>
              </w:rPr>
              <w:t xml:space="preserve">apply and receive prior to commencement (if required for the position) </w:t>
            </w:r>
            <w:r w:rsidR="000C5ADD" w:rsidRPr="00A236D7">
              <w:rPr>
                <w:rFonts w:ascii="Arial" w:eastAsia="Times New Roman" w:hAnsi="Arial" w:cs="Arial"/>
                <w:color w:val="000000"/>
                <w:shd w:val="clear" w:color="auto" w:fill="FFFFFF"/>
                <w:lang w:eastAsia="en-AU"/>
              </w:rPr>
              <w:t>a Working with Vulnerabl</w:t>
            </w:r>
            <w:r w:rsidRPr="00A236D7">
              <w:rPr>
                <w:rFonts w:ascii="Arial" w:eastAsia="Times New Roman" w:hAnsi="Arial" w:cs="Arial"/>
                <w:color w:val="000000"/>
                <w:shd w:val="clear" w:color="auto" w:fill="FFFFFF"/>
                <w:lang w:eastAsia="en-AU"/>
              </w:rPr>
              <w:t>e People card.</w:t>
            </w:r>
          </w:p>
          <w:p w:rsidR="0004587A" w:rsidRPr="0004587A" w:rsidRDefault="0004587A" w:rsidP="0004587A">
            <w:pPr>
              <w:rPr>
                <w:rFonts w:ascii="Arial" w:eastAsia="Times New Roman" w:hAnsi="Arial" w:cs="Arial"/>
                <w:bCs/>
                <w:lang w:eastAsia="en-AU"/>
              </w:rPr>
            </w:pPr>
          </w:p>
        </w:tc>
      </w:tr>
    </w:tbl>
    <w:p w:rsidR="000C5ADD" w:rsidRDefault="000C5ADD" w:rsidP="000C5ADD">
      <w:pPr>
        <w:pBdr>
          <w:bottom w:val="single" w:sz="6" w:space="0" w:color="000000"/>
        </w:pBdr>
        <w:shd w:val="clear" w:color="auto" w:fill="FFFFFF"/>
        <w:spacing w:before="150" w:after="60" w:line="240" w:lineRule="auto"/>
        <w:outlineLvl w:val="1"/>
        <w:rPr>
          <w:rFonts w:ascii="Arial" w:eastAsia="Times New Roman" w:hAnsi="Arial" w:cs="Arial"/>
          <w:bCs/>
          <w:sz w:val="24"/>
          <w:szCs w:val="24"/>
          <w:lang w:eastAsia="en-AU"/>
        </w:rPr>
      </w:pPr>
    </w:p>
    <w:p w:rsidR="000C5ADD" w:rsidRPr="00A236D7" w:rsidRDefault="000C5ADD" w:rsidP="000C5ADD">
      <w:pPr>
        <w:pBdr>
          <w:bottom w:val="single" w:sz="6" w:space="0" w:color="000000"/>
        </w:pBdr>
        <w:shd w:val="clear" w:color="auto" w:fill="FFFFFF"/>
        <w:spacing w:before="150" w:after="60" w:line="240" w:lineRule="auto"/>
        <w:outlineLvl w:val="1"/>
        <w:rPr>
          <w:rFonts w:ascii="Arial" w:eastAsia="Times New Roman" w:hAnsi="Arial" w:cs="Arial"/>
          <w:b/>
          <w:bCs/>
          <w:sz w:val="26"/>
          <w:szCs w:val="26"/>
          <w:lang w:eastAsia="en-AU"/>
        </w:rPr>
      </w:pPr>
      <w:r w:rsidRPr="00A236D7">
        <w:rPr>
          <w:rFonts w:ascii="Arial" w:eastAsia="Times New Roman" w:hAnsi="Arial" w:cs="Arial"/>
          <w:b/>
          <w:bCs/>
          <w:sz w:val="26"/>
          <w:szCs w:val="26"/>
          <w:lang w:eastAsia="en-AU"/>
        </w:rPr>
        <w:t>About the Museum</w:t>
      </w:r>
    </w:p>
    <w:p w:rsidR="000C5ADD" w:rsidRPr="00755150" w:rsidRDefault="000C5ADD" w:rsidP="000C5ADD">
      <w:pPr>
        <w:shd w:val="clear" w:color="auto" w:fill="FFFFFF"/>
        <w:spacing w:after="0" w:line="240" w:lineRule="auto"/>
        <w:outlineLvl w:val="2"/>
        <w:rPr>
          <w:rFonts w:ascii="Arial" w:eastAsia="Times New Roman" w:hAnsi="Arial" w:cs="Arial"/>
          <w:b/>
          <w:bCs/>
          <w:color w:val="000000"/>
          <w:lang w:eastAsia="en-AU"/>
        </w:rPr>
      </w:pPr>
    </w:p>
    <w:p w:rsidR="000C5ADD" w:rsidRPr="00755150" w:rsidRDefault="000C5ADD" w:rsidP="000C5ADD">
      <w:pPr>
        <w:shd w:val="clear" w:color="auto" w:fill="FFFFFF"/>
        <w:spacing w:after="0" w:line="360" w:lineRule="auto"/>
        <w:outlineLvl w:val="2"/>
        <w:rPr>
          <w:rFonts w:ascii="Arial" w:eastAsia="Times New Roman" w:hAnsi="Arial" w:cs="Arial"/>
          <w:b/>
          <w:bCs/>
          <w:color w:val="000000"/>
          <w:lang w:eastAsia="en-AU"/>
        </w:rPr>
      </w:pPr>
      <w:r w:rsidRPr="00755150">
        <w:rPr>
          <w:rFonts w:ascii="Arial" w:hAnsi="Arial" w:cs="Arial"/>
        </w:rPr>
        <w:t>Housed in one of Australia’s most prominent national heritage listed buildings, the Museum of Australian Democracy (MoAD)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rsidR="000C5ADD" w:rsidRDefault="000C5ADD" w:rsidP="000C5ADD">
      <w:pPr>
        <w:shd w:val="clear" w:color="auto" w:fill="FFFFFF"/>
        <w:spacing w:after="0" w:line="240" w:lineRule="auto"/>
        <w:outlineLvl w:val="2"/>
        <w:rPr>
          <w:rFonts w:ascii="Arial" w:eastAsia="Times New Roman" w:hAnsi="Arial" w:cs="Arial"/>
          <w:bCs/>
          <w:color w:val="000000"/>
          <w:sz w:val="21"/>
          <w:szCs w:val="21"/>
          <w:lang w:eastAsia="en-AU"/>
        </w:rPr>
      </w:pPr>
    </w:p>
    <w:p w:rsidR="000C5ADD" w:rsidRPr="00A236D7" w:rsidRDefault="000C5ADD" w:rsidP="000C5ADD">
      <w:pPr>
        <w:pBdr>
          <w:bottom w:val="single" w:sz="6" w:space="0" w:color="000000"/>
        </w:pBdr>
        <w:shd w:val="clear" w:color="auto" w:fill="FFFFFF"/>
        <w:spacing w:before="150" w:after="60" w:line="240" w:lineRule="auto"/>
        <w:outlineLvl w:val="1"/>
        <w:rPr>
          <w:rFonts w:ascii="Arial" w:eastAsia="Times New Roman" w:hAnsi="Arial" w:cs="Arial"/>
          <w:b/>
          <w:bCs/>
          <w:sz w:val="26"/>
          <w:szCs w:val="26"/>
          <w:lang w:eastAsia="en-AU"/>
        </w:rPr>
      </w:pPr>
      <w:r w:rsidRPr="00A236D7">
        <w:rPr>
          <w:rFonts w:ascii="Arial" w:eastAsia="Times New Roman" w:hAnsi="Arial" w:cs="Arial"/>
          <w:b/>
          <w:bCs/>
          <w:sz w:val="26"/>
          <w:szCs w:val="26"/>
          <w:lang w:eastAsia="en-AU"/>
        </w:rPr>
        <w:t>About the Register</w:t>
      </w:r>
    </w:p>
    <w:p w:rsidR="000C5ADD" w:rsidRDefault="000C5ADD" w:rsidP="000C5ADD">
      <w:pPr>
        <w:shd w:val="clear" w:color="auto" w:fill="FFFFFF"/>
        <w:spacing w:after="0" w:line="240" w:lineRule="auto"/>
        <w:outlineLvl w:val="2"/>
        <w:rPr>
          <w:rFonts w:ascii="Arial" w:eastAsia="Times New Roman" w:hAnsi="Arial" w:cs="Arial"/>
          <w:b/>
          <w:bCs/>
          <w:color w:val="000000"/>
          <w:sz w:val="25"/>
          <w:szCs w:val="25"/>
          <w:u w:val="single"/>
          <w:lang w:eastAsia="en-AU"/>
        </w:rPr>
      </w:pPr>
    </w:p>
    <w:p w:rsidR="000C5ADD" w:rsidRPr="00755150" w:rsidRDefault="000C5ADD" w:rsidP="000C5ADD">
      <w:pPr>
        <w:shd w:val="clear" w:color="auto" w:fill="FFFFFF"/>
        <w:spacing w:after="0" w:line="360" w:lineRule="auto"/>
        <w:outlineLvl w:val="2"/>
        <w:rPr>
          <w:rFonts w:ascii="Arial" w:eastAsia="Times New Roman" w:hAnsi="Arial" w:cs="Arial"/>
          <w:bCs/>
          <w:color w:val="000000"/>
          <w:lang w:eastAsia="en-AU"/>
        </w:rPr>
      </w:pPr>
      <w:r w:rsidRPr="00755150">
        <w:rPr>
          <w:rFonts w:ascii="Arial" w:eastAsia="Times New Roman" w:hAnsi="Arial" w:cs="Arial"/>
          <w:bCs/>
          <w:color w:val="000000"/>
          <w:lang w:eastAsia="en-AU"/>
        </w:rPr>
        <w:t>The Temporary Employment Register allows candidates to submit an expression of interest to work at MoAD in a range of positions in a non-ongoing capacity.  Roles include but are not limited to working directly with visitors in the museum and PlayUp, learning programs for school children and digital engagement, heritage positions including curating, exhibitions, working with our collection and administrative positions including governance, human resources, marketing, philanthropy, finance</w:t>
      </w:r>
      <w:r w:rsidR="002472C7" w:rsidRPr="00755150">
        <w:rPr>
          <w:rFonts w:ascii="Arial" w:eastAsia="Times New Roman" w:hAnsi="Arial" w:cs="Arial"/>
          <w:bCs/>
          <w:color w:val="000000"/>
          <w:lang w:eastAsia="en-AU"/>
        </w:rPr>
        <w:t>,</w:t>
      </w:r>
      <w:r w:rsidRPr="00755150">
        <w:rPr>
          <w:rFonts w:ascii="Arial" w:eastAsia="Times New Roman" w:hAnsi="Arial" w:cs="Arial"/>
          <w:bCs/>
          <w:color w:val="000000"/>
          <w:lang w:eastAsia="en-AU"/>
        </w:rPr>
        <w:t xml:space="preserve"> facilities and general administrative positions.</w:t>
      </w:r>
    </w:p>
    <w:p w:rsidR="000C5ADD" w:rsidRPr="00755150" w:rsidRDefault="000C5ADD" w:rsidP="000C5ADD">
      <w:pPr>
        <w:shd w:val="clear" w:color="auto" w:fill="FFFFFF"/>
        <w:spacing w:after="0" w:line="360" w:lineRule="auto"/>
        <w:outlineLvl w:val="2"/>
        <w:rPr>
          <w:rFonts w:ascii="Arial" w:eastAsia="Times New Roman" w:hAnsi="Arial" w:cs="Arial"/>
          <w:bCs/>
          <w:color w:val="000000"/>
          <w:lang w:eastAsia="en-AU"/>
        </w:rPr>
      </w:pPr>
    </w:p>
    <w:p w:rsidR="000C5ADD" w:rsidRPr="00755150" w:rsidRDefault="000C5ADD" w:rsidP="000C5ADD">
      <w:pPr>
        <w:shd w:val="clear" w:color="auto" w:fill="FFFFFF"/>
        <w:spacing w:after="0" w:line="360" w:lineRule="auto"/>
        <w:outlineLvl w:val="2"/>
        <w:rPr>
          <w:rFonts w:ascii="Arial" w:eastAsia="Times New Roman" w:hAnsi="Arial" w:cs="Arial"/>
          <w:color w:val="000000"/>
          <w:shd w:val="clear" w:color="auto" w:fill="FFFFFF"/>
          <w:lang w:eastAsia="en-AU"/>
        </w:rPr>
      </w:pPr>
      <w:r w:rsidRPr="00755150">
        <w:rPr>
          <w:rFonts w:ascii="Arial" w:eastAsia="Times New Roman" w:hAnsi="Arial" w:cs="Arial"/>
          <w:color w:val="000000"/>
          <w:shd w:val="clear" w:color="auto" w:fill="FFFFFF"/>
          <w:lang w:eastAsia="en-AU"/>
        </w:rPr>
        <w:t>There is no guarantee that an offer of employment will be made while your application remains on the register. You will only be contacted regarding your application if a vacancy arises that matches your skills and experience.</w:t>
      </w:r>
    </w:p>
    <w:p w:rsidR="000C5ADD" w:rsidRPr="00755150" w:rsidRDefault="000C5ADD" w:rsidP="00637824">
      <w:pPr>
        <w:shd w:val="clear" w:color="auto" w:fill="FFFFFF"/>
        <w:spacing w:after="0" w:line="360" w:lineRule="auto"/>
        <w:outlineLvl w:val="2"/>
        <w:rPr>
          <w:rFonts w:ascii="Arial" w:eastAsia="Times New Roman" w:hAnsi="Arial" w:cs="Arial"/>
          <w:color w:val="000000"/>
          <w:shd w:val="clear" w:color="auto" w:fill="FFFFFF"/>
          <w:lang w:eastAsia="en-AU"/>
        </w:rPr>
      </w:pPr>
    </w:p>
    <w:p w:rsidR="00CC5ED5" w:rsidRPr="00755150" w:rsidRDefault="00CC5ED5" w:rsidP="00637824">
      <w:pPr>
        <w:shd w:val="clear" w:color="auto" w:fill="FFFFFF"/>
        <w:spacing w:after="0" w:line="360" w:lineRule="auto"/>
        <w:outlineLvl w:val="2"/>
        <w:rPr>
          <w:rFonts w:ascii="Arial" w:eastAsia="Times New Roman" w:hAnsi="Arial" w:cs="Arial"/>
          <w:color w:val="000000"/>
          <w:shd w:val="clear" w:color="auto" w:fill="FFFFFF"/>
          <w:lang w:eastAsia="en-AU"/>
        </w:rPr>
      </w:pPr>
      <w:r w:rsidRPr="00755150">
        <w:rPr>
          <w:rFonts w:ascii="Arial" w:eastAsia="Times New Roman" w:hAnsi="Arial" w:cs="Arial"/>
          <w:color w:val="000000"/>
          <w:shd w:val="clear" w:color="auto" w:fill="FFFFFF"/>
          <w:lang w:eastAsia="en-AU"/>
        </w:rPr>
        <w:t xml:space="preserve">Non-Ongoing (temporary) employment opportunities may be offered on a full-time, part-time or intermittent (casual) basis for </w:t>
      </w:r>
      <w:r w:rsidR="00A236D7">
        <w:rPr>
          <w:rFonts w:ascii="Arial" w:eastAsia="Times New Roman" w:hAnsi="Arial" w:cs="Arial"/>
          <w:color w:val="000000"/>
          <w:shd w:val="clear" w:color="auto" w:fill="FFFFFF"/>
          <w:lang w:eastAsia="en-AU"/>
        </w:rPr>
        <w:t xml:space="preserve">a period between 4 weeks and </w:t>
      </w:r>
      <w:r w:rsidRPr="00755150">
        <w:rPr>
          <w:rFonts w:ascii="Arial" w:eastAsia="Times New Roman" w:hAnsi="Arial" w:cs="Arial"/>
          <w:color w:val="000000"/>
          <w:shd w:val="clear" w:color="auto" w:fill="FFFFFF"/>
          <w:lang w:eastAsia="en-AU"/>
        </w:rPr>
        <w:t>up to 18 months.</w:t>
      </w:r>
    </w:p>
    <w:p w:rsidR="00CC5ED5" w:rsidRPr="00755150" w:rsidRDefault="00CC5ED5" w:rsidP="00637824">
      <w:pPr>
        <w:shd w:val="clear" w:color="auto" w:fill="FFFFFF"/>
        <w:spacing w:after="0" w:line="360" w:lineRule="auto"/>
        <w:outlineLvl w:val="2"/>
        <w:rPr>
          <w:rFonts w:ascii="Arial" w:eastAsia="Times New Roman" w:hAnsi="Arial" w:cs="Arial"/>
          <w:color w:val="000000"/>
          <w:shd w:val="clear" w:color="auto" w:fill="FFFFFF"/>
          <w:lang w:eastAsia="en-AU"/>
        </w:rPr>
      </w:pPr>
    </w:p>
    <w:p w:rsidR="00CC5ED5" w:rsidRPr="00755150" w:rsidRDefault="00CC5ED5" w:rsidP="00637824">
      <w:pPr>
        <w:shd w:val="clear" w:color="auto" w:fill="FFFFFF"/>
        <w:spacing w:after="0" w:line="360" w:lineRule="auto"/>
        <w:outlineLvl w:val="2"/>
        <w:rPr>
          <w:rFonts w:ascii="Arial" w:eastAsia="Times New Roman" w:hAnsi="Arial" w:cs="Arial"/>
          <w:b/>
          <w:color w:val="000000"/>
          <w:shd w:val="clear" w:color="auto" w:fill="FFFFFF"/>
          <w:lang w:eastAsia="en-AU"/>
        </w:rPr>
      </w:pPr>
      <w:r w:rsidRPr="00755150">
        <w:rPr>
          <w:rFonts w:ascii="Arial" w:eastAsia="Times New Roman" w:hAnsi="Arial" w:cs="Arial"/>
          <w:color w:val="000000"/>
          <w:shd w:val="clear" w:color="auto" w:fill="FFFFFF"/>
          <w:lang w:eastAsia="en-AU"/>
        </w:rPr>
        <w:t>Applications will remain on our</w:t>
      </w:r>
      <w:r w:rsidR="000C5ADD" w:rsidRPr="00755150">
        <w:rPr>
          <w:rFonts w:ascii="Arial" w:eastAsia="Times New Roman" w:hAnsi="Arial" w:cs="Arial"/>
          <w:color w:val="000000"/>
          <w:shd w:val="clear" w:color="auto" w:fill="FFFFFF"/>
          <w:lang w:eastAsia="en-AU"/>
        </w:rPr>
        <w:t xml:space="preserve"> temporary employment register </w:t>
      </w:r>
      <w:r w:rsidRPr="00755150">
        <w:rPr>
          <w:rFonts w:ascii="Arial" w:eastAsia="Times New Roman" w:hAnsi="Arial" w:cs="Arial"/>
          <w:color w:val="000000"/>
          <w:shd w:val="clear" w:color="auto" w:fill="FFFFFF"/>
          <w:lang w:eastAsia="en-AU"/>
        </w:rPr>
        <w:t xml:space="preserve">to </w:t>
      </w:r>
      <w:r w:rsidRPr="00755150">
        <w:rPr>
          <w:rFonts w:ascii="Arial" w:eastAsia="Times New Roman" w:hAnsi="Arial" w:cs="Arial"/>
          <w:b/>
          <w:color w:val="000000"/>
          <w:shd w:val="clear" w:color="auto" w:fill="FFFFFF"/>
          <w:lang w:eastAsia="en-AU"/>
        </w:rPr>
        <w:t>30 June 2020.</w:t>
      </w:r>
    </w:p>
    <w:p w:rsidR="00CC5ED5" w:rsidRPr="00755150" w:rsidRDefault="00CC5ED5" w:rsidP="00637824">
      <w:pPr>
        <w:shd w:val="clear" w:color="auto" w:fill="FFFFFF"/>
        <w:spacing w:after="0" w:line="360" w:lineRule="auto"/>
        <w:outlineLvl w:val="2"/>
        <w:rPr>
          <w:rFonts w:ascii="Arial" w:eastAsia="Times New Roman" w:hAnsi="Arial" w:cs="Arial"/>
          <w:color w:val="000000"/>
          <w:shd w:val="clear" w:color="auto" w:fill="FFFFFF"/>
          <w:lang w:eastAsia="en-AU"/>
        </w:rPr>
      </w:pPr>
    </w:p>
    <w:p w:rsidR="00CC5ED5" w:rsidRPr="00755150" w:rsidRDefault="00CC5ED5" w:rsidP="00637824">
      <w:pPr>
        <w:shd w:val="clear" w:color="auto" w:fill="FFFFFF"/>
        <w:spacing w:after="0" w:line="360" w:lineRule="auto"/>
        <w:outlineLvl w:val="2"/>
        <w:rPr>
          <w:rFonts w:ascii="Arial" w:eastAsia="Times New Roman" w:hAnsi="Arial" w:cs="Arial"/>
          <w:color w:val="000000"/>
          <w:shd w:val="clear" w:color="auto" w:fill="FFFFFF"/>
          <w:lang w:eastAsia="en-AU"/>
        </w:rPr>
      </w:pPr>
      <w:r w:rsidRPr="00755150">
        <w:rPr>
          <w:rFonts w:ascii="Arial" w:eastAsia="Times New Roman" w:hAnsi="Arial" w:cs="Arial"/>
          <w:color w:val="000000"/>
          <w:shd w:val="clear" w:color="auto" w:fill="FFFFFF"/>
          <w:lang w:eastAsia="en-AU"/>
        </w:rPr>
        <w:t>Applicants are encouraged to lodge a new application if:</w:t>
      </w:r>
    </w:p>
    <w:p w:rsidR="00CC5ED5" w:rsidRPr="00755150" w:rsidRDefault="00CC5ED5" w:rsidP="00CC5ED5">
      <w:pPr>
        <w:pStyle w:val="ListParagraph"/>
        <w:numPr>
          <w:ilvl w:val="0"/>
          <w:numId w:val="2"/>
        </w:numPr>
        <w:shd w:val="clear" w:color="auto" w:fill="FFFFFF"/>
        <w:spacing w:after="0" w:line="360" w:lineRule="auto"/>
        <w:outlineLvl w:val="2"/>
        <w:rPr>
          <w:rFonts w:ascii="Arial" w:eastAsia="Times New Roman" w:hAnsi="Arial" w:cs="Arial"/>
          <w:color w:val="000000"/>
          <w:shd w:val="clear" w:color="auto" w:fill="FFFFFF"/>
          <w:lang w:eastAsia="en-AU"/>
        </w:rPr>
      </w:pPr>
      <w:r w:rsidRPr="00755150">
        <w:rPr>
          <w:rFonts w:ascii="Arial" w:eastAsia="Times New Roman" w:hAnsi="Arial" w:cs="Arial"/>
          <w:color w:val="000000"/>
          <w:shd w:val="clear" w:color="auto" w:fill="FFFFFF"/>
          <w:lang w:eastAsia="en-AU"/>
        </w:rPr>
        <w:t>Employment and personal details change</w:t>
      </w:r>
    </w:p>
    <w:p w:rsidR="00CC5ED5" w:rsidRPr="00755150" w:rsidRDefault="00CC5ED5" w:rsidP="00CC5ED5">
      <w:pPr>
        <w:pStyle w:val="ListParagraph"/>
        <w:numPr>
          <w:ilvl w:val="0"/>
          <w:numId w:val="2"/>
        </w:numPr>
        <w:shd w:val="clear" w:color="auto" w:fill="FFFFFF"/>
        <w:spacing w:after="0" w:line="360" w:lineRule="auto"/>
        <w:outlineLvl w:val="2"/>
        <w:rPr>
          <w:rFonts w:ascii="Arial" w:eastAsia="Times New Roman" w:hAnsi="Arial" w:cs="Arial"/>
          <w:bCs/>
          <w:color w:val="000000"/>
          <w:lang w:eastAsia="en-AU"/>
        </w:rPr>
      </w:pPr>
      <w:r w:rsidRPr="00755150">
        <w:rPr>
          <w:rFonts w:ascii="Arial" w:eastAsia="Times New Roman" w:hAnsi="Arial" w:cs="Arial"/>
          <w:color w:val="000000"/>
          <w:shd w:val="clear" w:color="auto" w:fill="FFFFFF"/>
          <w:lang w:eastAsia="en-AU"/>
        </w:rPr>
        <w:t>The registration period expires.</w:t>
      </w:r>
    </w:p>
    <w:p w:rsidR="000C5ADD" w:rsidRDefault="000C5ADD" w:rsidP="00637824">
      <w:pPr>
        <w:pBdr>
          <w:bottom w:val="single" w:sz="6" w:space="0" w:color="000000"/>
        </w:pBdr>
        <w:shd w:val="clear" w:color="auto" w:fill="FFFFFF"/>
        <w:spacing w:before="150" w:after="60" w:line="240" w:lineRule="auto"/>
        <w:outlineLvl w:val="1"/>
        <w:rPr>
          <w:rFonts w:ascii="Arial" w:eastAsia="Times New Roman" w:hAnsi="Arial" w:cs="Arial"/>
          <w:b/>
          <w:bCs/>
          <w:sz w:val="24"/>
          <w:szCs w:val="24"/>
          <w:lang w:eastAsia="en-AU"/>
        </w:rPr>
      </w:pPr>
    </w:p>
    <w:p w:rsidR="00637824" w:rsidRPr="00A236D7" w:rsidRDefault="00637824" w:rsidP="00637824">
      <w:pPr>
        <w:pBdr>
          <w:bottom w:val="single" w:sz="6" w:space="0" w:color="000000"/>
        </w:pBdr>
        <w:shd w:val="clear" w:color="auto" w:fill="FFFFFF"/>
        <w:spacing w:before="150" w:after="60" w:line="240" w:lineRule="auto"/>
        <w:outlineLvl w:val="1"/>
        <w:rPr>
          <w:rFonts w:ascii="Arial" w:eastAsia="Times New Roman" w:hAnsi="Arial" w:cs="Arial"/>
          <w:b/>
          <w:bCs/>
          <w:sz w:val="26"/>
          <w:szCs w:val="26"/>
          <w:lang w:eastAsia="en-AU"/>
        </w:rPr>
      </w:pPr>
      <w:r w:rsidRPr="00A236D7">
        <w:rPr>
          <w:rFonts w:ascii="Arial" w:eastAsia="Times New Roman" w:hAnsi="Arial" w:cs="Arial"/>
          <w:b/>
          <w:bCs/>
          <w:sz w:val="26"/>
          <w:szCs w:val="26"/>
          <w:lang w:eastAsia="en-AU"/>
        </w:rPr>
        <w:t>How to apply</w:t>
      </w:r>
    </w:p>
    <w:p w:rsidR="00FB2A23" w:rsidRPr="00755150" w:rsidRDefault="00637824" w:rsidP="00805B62">
      <w:pPr>
        <w:shd w:val="clear" w:color="auto" w:fill="FFFFFF"/>
        <w:spacing w:after="0" w:line="360" w:lineRule="auto"/>
        <w:outlineLvl w:val="2"/>
        <w:rPr>
          <w:rFonts w:ascii="Arial" w:eastAsia="Times New Roman" w:hAnsi="Arial" w:cs="Arial"/>
          <w:bCs/>
          <w:color w:val="000000"/>
          <w:lang w:eastAsia="en-AU"/>
        </w:rPr>
      </w:pPr>
      <w:r w:rsidRPr="00755150">
        <w:rPr>
          <w:rFonts w:ascii="Arial" w:eastAsia="Times New Roman" w:hAnsi="Arial" w:cs="Arial"/>
          <w:bCs/>
          <w:color w:val="000000"/>
          <w:lang w:eastAsia="en-AU"/>
        </w:rPr>
        <w:t xml:space="preserve">To submit an Expression of Interest for the MoAD Temporary Employment Register, complete a coversheet and </w:t>
      </w:r>
      <w:r w:rsidR="0004587A">
        <w:rPr>
          <w:rFonts w:ascii="Arial" w:eastAsia="Times New Roman" w:hAnsi="Arial" w:cs="Arial"/>
          <w:bCs/>
          <w:color w:val="000000"/>
          <w:lang w:eastAsia="en-AU"/>
        </w:rPr>
        <w:t>forward, along with a current Resume</w:t>
      </w:r>
      <w:r w:rsidR="000C5ADD" w:rsidRPr="00755150">
        <w:rPr>
          <w:rFonts w:ascii="Arial" w:eastAsia="Times New Roman" w:hAnsi="Arial" w:cs="Arial"/>
          <w:bCs/>
          <w:color w:val="000000"/>
          <w:lang w:eastAsia="en-AU"/>
        </w:rPr>
        <w:t>,</w:t>
      </w:r>
      <w:r w:rsidRPr="00755150">
        <w:rPr>
          <w:rFonts w:ascii="Arial" w:eastAsia="Times New Roman" w:hAnsi="Arial" w:cs="Arial"/>
          <w:bCs/>
          <w:color w:val="000000"/>
          <w:lang w:eastAsia="en-AU"/>
        </w:rPr>
        <w:t xml:space="preserve"> which includes your work history and relevant training to </w:t>
      </w:r>
      <w:hyperlink r:id="rId8" w:history="1">
        <w:r w:rsidRPr="00755150">
          <w:rPr>
            <w:rStyle w:val="Hyperlink"/>
            <w:rFonts w:ascii="Arial" w:eastAsia="Times New Roman" w:hAnsi="Arial" w:cs="Arial"/>
            <w:bCs/>
            <w:lang w:eastAsia="en-AU"/>
          </w:rPr>
          <w:t>recruitment@moadoph.gov.au</w:t>
        </w:r>
      </w:hyperlink>
      <w:r w:rsidRPr="00755150">
        <w:rPr>
          <w:rFonts w:ascii="Arial" w:eastAsia="Times New Roman" w:hAnsi="Arial" w:cs="Arial"/>
          <w:bCs/>
          <w:color w:val="000000"/>
          <w:lang w:eastAsia="en-AU"/>
        </w:rPr>
        <w:t xml:space="preserve"> </w:t>
      </w:r>
    </w:p>
    <w:p w:rsidR="00481D18" w:rsidRDefault="00481D18" w:rsidP="00041418">
      <w:pPr>
        <w:shd w:val="clear" w:color="auto" w:fill="FFFFFF"/>
        <w:spacing w:after="0" w:line="240" w:lineRule="auto"/>
        <w:outlineLvl w:val="2"/>
        <w:rPr>
          <w:rFonts w:ascii="Arial" w:eastAsia="Times New Roman" w:hAnsi="Arial" w:cs="Arial"/>
          <w:bCs/>
          <w:color w:val="000000"/>
          <w:sz w:val="25"/>
          <w:szCs w:val="25"/>
          <w:lang w:eastAsia="en-AU"/>
        </w:rPr>
      </w:pPr>
    </w:p>
    <w:p w:rsidR="00491947" w:rsidRPr="00A236D7" w:rsidRDefault="00491947" w:rsidP="00491947">
      <w:pPr>
        <w:pBdr>
          <w:bottom w:val="single" w:sz="6" w:space="0" w:color="000000"/>
        </w:pBdr>
        <w:shd w:val="clear" w:color="auto" w:fill="FFFFFF"/>
        <w:spacing w:before="150" w:after="60" w:line="240" w:lineRule="auto"/>
        <w:outlineLvl w:val="1"/>
        <w:rPr>
          <w:rFonts w:ascii="Arial" w:eastAsia="Times New Roman" w:hAnsi="Arial" w:cs="Arial"/>
          <w:b/>
          <w:bCs/>
          <w:sz w:val="26"/>
          <w:szCs w:val="26"/>
          <w:lang w:eastAsia="en-AU"/>
        </w:rPr>
      </w:pPr>
      <w:r w:rsidRPr="00A236D7">
        <w:rPr>
          <w:rFonts w:ascii="Arial" w:eastAsia="Times New Roman" w:hAnsi="Arial" w:cs="Arial"/>
          <w:b/>
          <w:bCs/>
          <w:sz w:val="26"/>
          <w:szCs w:val="26"/>
          <w:lang w:eastAsia="en-AU"/>
        </w:rPr>
        <w:t>Salary and Conditions</w:t>
      </w:r>
    </w:p>
    <w:p w:rsidR="008C63DE" w:rsidRPr="008C63DE" w:rsidRDefault="008C63DE" w:rsidP="008C63DE">
      <w:pPr>
        <w:rPr>
          <w:rFonts w:ascii="Arial" w:hAnsi="Arial" w:cs="Arial"/>
          <w:i/>
        </w:rPr>
      </w:pPr>
      <w:r w:rsidRPr="008C63DE">
        <w:rPr>
          <w:rFonts w:ascii="Arial" w:hAnsi="Arial" w:cs="Arial"/>
        </w:rPr>
        <w:t xml:space="preserve">All terms and conditions for employment at MoAD can be found in the </w:t>
      </w:r>
      <w:hyperlink r:id="rId9" w:history="1">
        <w:r w:rsidRPr="008C63DE">
          <w:rPr>
            <w:rStyle w:val="Hyperlink"/>
            <w:rFonts w:ascii="Arial" w:hAnsi="Arial" w:cs="Arial"/>
            <w:i/>
          </w:rPr>
          <w:t>Old Parliament House 2017-2020 Enterprise Agreement</w:t>
        </w:r>
      </w:hyperlink>
    </w:p>
    <w:p w:rsidR="000C5ADD" w:rsidRDefault="008C63DE" w:rsidP="00041418">
      <w:pPr>
        <w:shd w:val="clear" w:color="auto" w:fill="FFFFFF"/>
        <w:spacing w:after="0" w:line="240" w:lineRule="auto"/>
        <w:outlineLvl w:val="2"/>
        <w:rPr>
          <w:rFonts w:ascii="Arial" w:eastAsia="Times New Roman" w:hAnsi="Arial" w:cs="Arial"/>
          <w:bCs/>
          <w:color w:val="000000"/>
          <w:lang w:eastAsia="en-AU"/>
        </w:rPr>
      </w:pPr>
      <w:r w:rsidRPr="008C63DE">
        <w:rPr>
          <w:rFonts w:ascii="Arial" w:eastAsia="Times New Roman" w:hAnsi="Arial" w:cs="Arial"/>
          <w:bCs/>
          <w:color w:val="000000"/>
          <w:lang w:eastAsia="en-AU"/>
        </w:rPr>
        <w:t xml:space="preserve">Some positions </w:t>
      </w:r>
      <w:r w:rsidR="000C5ADD">
        <w:rPr>
          <w:rFonts w:ascii="Arial" w:eastAsia="Times New Roman" w:hAnsi="Arial" w:cs="Arial"/>
          <w:bCs/>
          <w:color w:val="000000"/>
          <w:lang w:eastAsia="en-AU"/>
        </w:rPr>
        <w:t>may include</w:t>
      </w:r>
      <w:r w:rsidRPr="008C63DE">
        <w:rPr>
          <w:rFonts w:ascii="Arial" w:eastAsia="Times New Roman" w:hAnsi="Arial" w:cs="Arial"/>
          <w:bCs/>
          <w:color w:val="000000"/>
          <w:lang w:eastAsia="en-AU"/>
        </w:rPr>
        <w:t xml:space="preserve"> working weekends.  Penalty rates will apply.</w:t>
      </w:r>
    </w:p>
    <w:p w:rsidR="00CC5ED5" w:rsidRDefault="00CC5ED5" w:rsidP="00041418">
      <w:pPr>
        <w:shd w:val="clear" w:color="auto" w:fill="FFFFFF"/>
        <w:spacing w:after="0" w:line="240" w:lineRule="auto"/>
        <w:outlineLvl w:val="2"/>
        <w:rPr>
          <w:rFonts w:ascii="Arial" w:eastAsia="Times New Roman" w:hAnsi="Arial" w:cs="Arial"/>
          <w:bCs/>
          <w:color w:val="000000"/>
          <w:lang w:eastAsia="en-AU"/>
        </w:rPr>
      </w:pPr>
    </w:p>
    <w:p w:rsidR="00D77242" w:rsidRPr="00A236D7" w:rsidRDefault="00CC5ED5" w:rsidP="00D77242">
      <w:pPr>
        <w:pBdr>
          <w:bottom w:val="single" w:sz="6" w:space="0" w:color="000000"/>
        </w:pBdr>
        <w:shd w:val="clear" w:color="auto" w:fill="FFFFFF"/>
        <w:spacing w:before="150" w:after="60" w:line="240" w:lineRule="auto"/>
        <w:outlineLvl w:val="1"/>
        <w:rPr>
          <w:rFonts w:ascii="Arial" w:eastAsia="Times New Roman" w:hAnsi="Arial" w:cs="Arial"/>
          <w:b/>
          <w:bCs/>
          <w:sz w:val="26"/>
          <w:szCs w:val="26"/>
          <w:lang w:eastAsia="en-AU"/>
        </w:rPr>
      </w:pPr>
      <w:r w:rsidRPr="00A236D7">
        <w:rPr>
          <w:rFonts w:ascii="Arial" w:eastAsia="Times New Roman" w:hAnsi="Arial" w:cs="Arial"/>
          <w:b/>
          <w:bCs/>
          <w:sz w:val="26"/>
          <w:szCs w:val="26"/>
          <w:lang w:eastAsia="en-AU"/>
        </w:rPr>
        <w:t>Enquiries</w:t>
      </w:r>
    </w:p>
    <w:p w:rsidR="0004587A" w:rsidRDefault="00CC5ED5" w:rsidP="00F565F8">
      <w:pPr>
        <w:spacing w:after="0" w:line="480" w:lineRule="auto"/>
        <w:rPr>
          <w:rFonts w:ascii="Arial" w:eastAsia="Times New Roman" w:hAnsi="Arial" w:cs="Arial"/>
          <w:color w:val="000000"/>
          <w:shd w:val="clear" w:color="auto" w:fill="FFFFFF"/>
          <w:lang w:eastAsia="en-AU"/>
        </w:rPr>
      </w:pPr>
      <w:r w:rsidRPr="00755150">
        <w:rPr>
          <w:rFonts w:ascii="Arial" w:eastAsia="Times New Roman" w:hAnsi="Arial" w:cs="Arial"/>
          <w:color w:val="000000"/>
          <w:shd w:val="clear" w:color="auto" w:fill="FFFFFF"/>
          <w:lang w:eastAsia="en-AU"/>
        </w:rPr>
        <w:t>Enquiries about the Temporary Register can be made by</w:t>
      </w:r>
      <w:r w:rsidR="0004587A">
        <w:rPr>
          <w:rFonts w:ascii="Arial" w:eastAsia="Times New Roman" w:hAnsi="Arial" w:cs="Arial"/>
          <w:color w:val="000000"/>
          <w:shd w:val="clear" w:color="auto" w:fill="FFFFFF"/>
          <w:lang w:eastAsia="en-AU"/>
        </w:rPr>
        <w:t>:</w:t>
      </w:r>
    </w:p>
    <w:p w:rsidR="00D77242" w:rsidRPr="00755150" w:rsidRDefault="0004587A" w:rsidP="00F565F8">
      <w:pPr>
        <w:spacing w:after="0" w:line="480" w:lineRule="auto"/>
        <w:rPr>
          <w:rFonts w:ascii="Arial" w:eastAsia="Times New Roman" w:hAnsi="Arial" w:cs="Arial"/>
          <w:color w:val="000000"/>
          <w:shd w:val="clear" w:color="auto" w:fill="FFFFFF"/>
          <w:lang w:eastAsia="en-AU"/>
        </w:rPr>
      </w:pPr>
      <w:r>
        <w:rPr>
          <w:rFonts w:ascii="Arial" w:eastAsia="Times New Roman" w:hAnsi="Arial" w:cs="Arial"/>
          <w:color w:val="000000"/>
          <w:shd w:val="clear" w:color="auto" w:fill="FFFFFF"/>
          <w:lang w:eastAsia="en-AU"/>
        </w:rPr>
        <w:t>Email:</w:t>
      </w:r>
      <w:r>
        <w:rPr>
          <w:rFonts w:ascii="Arial" w:eastAsia="Times New Roman" w:hAnsi="Arial" w:cs="Arial"/>
          <w:color w:val="000000"/>
          <w:shd w:val="clear" w:color="auto" w:fill="FFFFFF"/>
          <w:lang w:eastAsia="en-AU"/>
        </w:rPr>
        <w:tab/>
      </w:r>
      <w:r>
        <w:rPr>
          <w:rFonts w:ascii="Arial" w:eastAsia="Times New Roman" w:hAnsi="Arial" w:cs="Arial"/>
          <w:color w:val="000000"/>
          <w:shd w:val="clear" w:color="auto" w:fill="FFFFFF"/>
          <w:lang w:eastAsia="en-AU"/>
        </w:rPr>
        <w:tab/>
      </w:r>
      <w:hyperlink r:id="rId10" w:history="1">
        <w:r w:rsidR="00CC5ED5" w:rsidRPr="00755150">
          <w:rPr>
            <w:rStyle w:val="Hyperlink"/>
            <w:rFonts w:ascii="Arial" w:eastAsia="Times New Roman" w:hAnsi="Arial" w:cs="Arial"/>
            <w:shd w:val="clear" w:color="auto" w:fill="FFFFFF"/>
            <w:lang w:eastAsia="en-AU"/>
          </w:rPr>
          <w:t>recruitment@moadoph.gov.au</w:t>
        </w:r>
      </w:hyperlink>
      <w:r w:rsidR="00CC5ED5" w:rsidRPr="00755150">
        <w:rPr>
          <w:rFonts w:ascii="Arial" w:eastAsia="Times New Roman" w:hAnsi="Arial" w:cs="Arial"/>
          <w:color w:val="000000"/>
          <w:shd w:val="clear" w:color="auto" w:fill="FFFFFF"/>
          <w:lang w:eastAsia="en-AU"/>
        </w:rPr>
        <w:t xml:space="preserve"> </w:t>
      </w:r>
    </w:p>
    <w:p w:rsidR="00F565F8" w:rsidRDefault="00F565F8" w:rsidP="00041418">
      <w:pPr>
        <w:spacing w:after="0" w:line="240" w:lineRule="auto"/>
        <w:rPr>
          <w:rFonts w:ascii="Arial" w:eastAsia="Times New Roman" w:hAnsi="Arial" w:cs="Arial"/>
          <w:lang w:eastAsia="en-AU"/>
        </w:rPr>
      </w:pPr>
    </w:p>
    <w:p w:rsidR="00041418" w:rsidRDefault="0004587A" w:rsidP="00041418">
      <w:pPr>
        <w:spacing w:after="0" w:line="240" w:lineRule="auto"/>
        <w:rPr>
          <w:rFonts w:ascii="Arial" w:eastAsia="Times New Roman" w:hAnsi="Arial" w:cs="Arial"/>
          <w:lang w:eastAsia="en-AU"/>
        </w:rPr>
      </w:pPr>
      <w:r>
        <w:rPr>
          <w:rFonts w:ascii="Arial" w:eastAsia="Times New Roman" w:hAnsi="Arial" w:cs="Arial"/>
          <w:lang w:eastAsia="en-AU"/>
        </w:rPr>
        <w:t>Phone:</w:t>
      </w:r>
      <w:r>
        <w:rPr>
          <w:rFonts w:ascii="Arial" w:eastAsia="Times New Roman" w:hAnsi="Arial" w:cs="Arial"/>
          <w:lang w:eastAsia="en-AU"/>
        </w:rPr>
        <w:tab/>
      </w:r>
      <w:r>
        <w:rPr>
          <w:rFonts w:ascii="Arial" w:eastAsia="Times New Roman" w:hAnsi="Arial" w:cs="Arial"/>
          <w:lang w:eastAsia="en-AU"/>
        </w:rPr>
        <w:tab/>
        <w:t>02 6270 8297 or 02 6270 8192</w:t>
      </w:r>
    </w:p>
    <w:p w:rsidR="0004587A" w:rsidRDefault="0004587A" w:rsidP="00041418">
      <w:pPr>
        <w:spacing w:after="0" w:line="240" w:lineRule="auto"/>
        <w:rPr>
          <w:rFonts w:ascii="Arial" w:eastAsia="Times New Roman" w:hAnsi="Arial" w:cs="Arial"/>
          <w:lang w:eastAsia="en-AU"/>
        </w:rPr>
      </w:pPr>
    </w:p>
    <w:p w:rsidR="0004587A" w:rsidRPr="00755150" w:rsidRDefault="0004587A" w:rsidP="00041418">
      <w:pPr>
        <w:spacing w:after="0" w:line="240" w:lineRule="auto"/>
        <w:rPr>
          <w:rFonts w:ascii="Arial" w:eastAsia="Times New Roman" w:hAnsi="Arial" w:cs="Arial"/>
          <w:lang w:eastAsia="en-AU"/>
        </w:rPr>
      </w:pPr>
    </w:p>
    <w:p w:rsidR="000C5ADD" w:rsidRPr="00A236D7" w:rsidRDefault="000C5ADD" w:rsidP="000C5ADD">
      <w:pPr>
        <w:pBdr>
          <w:bottom w:val="single" w:sz="6" w:space="0" w:color="000000"/>
        </w:pBdr>
        <w:shd w:val="clear" w:color="auto" w:fill="FFFFFF"/>
        <w:spacing w:before="150" w:after="60" w:line="240" w:lineRule="auto"/>
        <w:outlineLvl w:val="1"/>
        <w:rPr>
          <w:rFonts w:ascii="Arial" w:eastAsia="Times New Roman" w:hAnsi="Arial" w:cs="Arial"/>
          <w:bCs/>
          <w:sz w:val="26"/>
          <w:szCs w:val="26"/>
          <w:lang w:eastAsia="en-AU"/>
        </w:rPr>
      </w:pPr>
      <w:r w:rsidRPr="00A236D7">
        <w:rPr>
          <w:rFonts w:ascii="Arial" w:eastAsia="Times New Roman" w:hAnsi="Arial" w:cs="Arial"/>
          <w:b/>
          <w:bCs/>
          <w:sz w:val="26"/>
          <w:szCs w:val="26"/>
          <w:lang w:eastAsia="en-AU"/>
        </w:rPr>
        <w:t>Privacy Statement</w:t>
      </w:r>
    </w:p>
    <w:p w:rsidR="007B2E30" w:rsidRPr="0004587A" w:rsidRDefault="00B218B4" w:rsidP="000C5ADD">
      <w:pPr>
        <w:rPr>
          <w:rFonts w:ascii="Arial" w:eastAsia="Times New Roman" w:hAnsi="Arial" w:cs="Arial"/>
          <w:lang w:eastAsia="en-AU"/>
        </w:rPr>
      </w:pPr>
      <w:r w:rsidRPr="002472C7">
        <w:rPr>
          <w:rFonts w:ascii="Arial" w:eastAsia="Times New Roman" w:hAnsi="Arial" w:cs="Arial"/>
          <w:lang w:eastAsia="en-AU"/>
        </w:rPr>
        <w:t>MoAD collects your personal information in the application process for the purposes of assessing your suitability for registration on the MoAD Temporary Employment Register.  Your personal information will be held</w:t>
      </w:r>
      <w:r w:rsidR="00857B30" w:rsidRPr="002472C7">
        <w:rPr>
          <w:rFonts w:ascii="Arial" w:eastAsia="Times New Roman" w:hAnsi="Arial" w:cs="Arial"/>
          <w:lang w:eastAsia="en-AU"/>
        </w:rPr>
        <w:t xml:space="preserve">, and may be used or disclosed, in accordance with the </w:t>
      </w:r>
      <w:r w:rsidR="00857B30" w:rsidRPr="002472C7">
        <w:rPr>
          <w:rFonts w:ascii="Arial" w:eastAsia="Times New Roman" w:hAnsi="Arial" w:cs="Arial"/>
          <w:i/>
          <w:lang w:eastAsia="en-AU"/>
        </w:rPr>
        <w:t>Privacy Act 1988</w:t>
      </w:r>
      <w:r w:rsidR="00857B30" w:rsidRPr="002472C7">
        <w:rPr>
          <w:rFonts w:ascii="Arial" w:eastAsia="Times New Roman" w:hAnsi="Arial" w:cs="Arial"/>
          <w:lang w:eastAsia="en-AU"/>
        </w:rPr>
        <w:t>.</w:t>
      </w:r>
    </w:p>
    <w:p w:rsidR="00857B30" w:rsidRPr="0004587A" w:rsidRDefault="00857B30" w:rsidP="002472C7">
      <w:pPr>
        <w:ind w:right="-330"/>
        <w:rPr>
          <w:rFonts w:ascii="Arial" w:hAnsi="Arial" w:cs="Arial"/>
        </w:rPr>
      </w:pPr>
      <w:r w:rsidRPr="0004587A">
        <w:rPr>
          <w:rFonts w:ascii="Arial" w:eastAsia="Times New Roman" w:hAnsi="Arial" w:cs="Arial"/>
          <w:lang w:eastAsia="en-AU"/>
        </w:rPr>
        <w:t>MoAD has a Privacy Policy whic</w:t>
      </w:r>
      <w:permStart w:id="730209005" w:edGrp="everyone"/>
      <w:permEnd w:id="730209005"/>
      <w:r w:rsidRPr="0004587A">
        <w:rPr>
          <w:rFonts w:ascii="Arial" w:eastAsia="Times New Roman" w:hAnsi="Arial" w:cs="Arial"/>
          <w:lang w:eastAsia="en-AU"/>
        </w:rPr>
        <w:t xml:space="preserve">h is available at </w:t>
      </w:r>
      <w:hyperlink r:id="rId11" w:history="1">
        <w:r w:rsidR="002472C7" w:rsidRPr="0004587A">
          <w:rPr>
            <w:rStyle w:val="Hyperlink"/>
            <w:rFonts w:ascii="Arial" w:hAnsi="Arial" w:cs="Arial"/>
          </w:rPr>
          <w:t>https://www.moadoph.gov.au/about/privacy/</w:t>
        </w:r>
      </w:hyperlink>
    </w:p>
    <w:p w:rsidR="002472C7" w:rsidRPr="002472C7" w:rsidRDefault="002472C7" w:rsidP="002472C7">
      <w:pPr>
        <w:ind w:right="-330"/>
        <w:rPr>
          <w:rFonts w:ascii="Arial" w:eastAsia="Times New Roman" w:hAnsi="Arial" w:cs="Arial"/>
          <w:lang w:eastAsia="en-AU"/>
        </w:rPr>
      </w:pPr>
      <w:r>
        <w:rPr>
          <w:rFonts w:ascii="Arial" w:eastAsia="Times New Roman" w:hAnsi="Arial" w:cs="Arial"/>
          <w:lang w:eastAsia="en-AU"/>
        </w:rPr>
        <w:t>The Privacy Policy explains how information is handled, how you can access your information, seek corrections to your information, if necessary, or make complaints about MoAD’s information handling.</w:t>
      </w:r>
    </w:p>
    <w:sectPr w:rsidR="002472C7" w:rsidRPr="002472C7" w:rsidSect="00A236D7">
      <w:pgSz w:w="11906" w:h="16838"/>
      <w:pgMar w:top="99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65" w:rsidRDefault="006B0565" w:rsidP="00805B62">
      <w:pPr>
        <w:spacing w:after="0" w:line="240" w:lineRule="auto"/>
      </w:pPr>
      <w:r>
        <w:separator/>
      </w:r>
    </w:p>
  </w:endnote>
  <w:endnote w:type="continuationSeparator" w:id="0">
    <w:p w:rsidR="006B0565" w:rsidRDefault="006B0565" w:rsidP="0080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65" w:rsidRDefault="006B0565" w:rsidP="00805B62">
      <w:pPr>
        <w:spacing w:after="0" w:line="240" w:lineRule="auto"/>
      </w:pPr>
      <w:r>
        <w:separator/>
      </w:r>
    </w:p>
  </w:footnote>
  <w:footnote w:type="continuationSeparator" w:id="0">
    <w:p w:rsidR="006B0565" w:rsidRDefault="006B0565" w:rsidP="00805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309"/>
    <w:multiLevelType w:val="hybridMultilevel"/>
    <w:tmpl w:val="D3A4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D2E4F88"/>
    <w:multiLevelType w:val="hybridMultilevel"/>
    <w:tmpl w:val="96945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2D2D8C"/>
    <w:multiLevelType w:val="hybridMultilevel"/>
    <w:tmpl w:val="4560F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18"/>
    <w:rsid w:val="00041418"/>
    <w:rsid w:val="000438BE"/>
    <w:rsid w:val="0004587A"/>
    <w:rsid w:val="000C5ADD"/>
    <w:rsid w:val="002472C7"/>
    <w:rsid w:val="003F2BC1"/>
    <w:rsid w:val="00464020"/>
    <w:rsid w:val="00481D18"/>
    <w:rsid w:val="00491947"/>
    <w:rsid w:val="00574AD2"/>
    <w:rsid w:val="005B7C79"/>
    <w:rsid w:val="006114D4"/>
    <w:rsid w:val="00637824"/>
    <w:rsid w:val="006B0565"/>
    <w:rsid w:val="00755150"/>
    <w:rsid w:val="00781C71"/>
    <w:rsid w:val="007B2E30"/>
    <w:rsid w:val="00805B62"/>
    <w:rsid w:val="00857B30"/>
    <w:rsid w:val="00885F0E"/>
    <w:rsid w:val="008A5B8E"/>
    <w:rsid w:val="008C63DE"/>
    <w:rsid w:val="00A236D7"/>
    <w:rsid w:val="00AB6447"/>
    <w:rsid w:val="00B218B4"/>
    <w:rsid w:val="00CA1D73"/>
    <w:rsid w:val="00CC5ED5"/>
    <w:rsid w:val="00D77242"/>
    <w:rsid w:val="00F565F8"/>
    <w:rsid w:val="00FB2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42F8"/>
  <w15:chartTrackingRefBased/>
  <w15:docId w15:val="{0D63CAAF-AA00-46D9-8DBF-98DB63B8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141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4141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141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41418"/>
    <w:rPr>
      <w:rFonts w:ascii="Times New Roman" w:eastAsia="Times New Roman" w:hAnsi="Times New Roman" w:cs="Times New Roman"/>
      <w:b/>
      <w:bCs/>
      <w:sz w:val="27"/>
      <w:szCs w:val="27"/>
      <w:lang w:eastAsia="en-AU"/>
    </w:rPr>
  </w:style>
  <w:style w:type="character" w:styleId="Hyperlink">
    <w:name w:val="Hyperlink"/>
    <w:basedOn w:val="DefaultParagraphFont"/>
    <w:unhideWhenUsed/>
    <w:rsid w:val="00041418"/>
    <w:rPr>
      <w:color w:val="0000FF"/>
      <w:u w:val="single"/>
    </w:rPr>
  </w:style>
  <w:style w:type="paragraph" w:styleId="ListParagraph">
    <w:name w:val="List Paragraph"/>
    <w:basedOn w:val="Normal"/>
    <w:uiPriority w:val="34"/>
    <w:qFormat/>
    <w:rsid w:val="00041418"/>
    <w:pPr>
      <w:ind w:left="720"/>
      <w:contextualSpacing/>
    </w:pPr>
  </w:style>
  <w:style w:type="table" w:styleId="TableGrid">
    <w:name w:val="Table Grid"/>
    <w:basedOn w:val="TableNormal"/>
    <w:uiPriority w:val="39"/>
    <w:rsid w:val="0080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B62"/>
  </w:style>
  <w:style w:type="paragraph" w:styleId="Footer">
    <w:name w:val="footer"/>
    <w:basedOn w:val="Normal"/>
    <w:link w:val="FooterChar"/>
    <w:uiPriority w:val="99"/>
    <w:unhideWhenUsed/>
    <w:rsid w:val="00805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93287">
      <w:bodyDiv w:val="1"/>
      <w:marLeft w:val="0"/>
      <w:marRight w:val="0"/>
      <w:marTop w:val="0"/>
      <w:marBottom w:val="0"/>
      <w:divBdr>
        <w:top w:val="none" w:sz="0" w:space="0" w:color="auto"/>
        <w:left w:val="none" w:sz="0" w:space="0" w:color="auto"/>
        <w:bottom w:val="none" w:sz="0" w:space="0" w:color="auto"/>
        <w:right w:val="none" w:sz="0" w:space="0" w:color="auto"/>
      </w:divBdr>
    </w:div>
    <w:div w:id="8988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oadoph.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adoph.gov.au/about/privacy/" TargetMode="External"/><Relationship Id="rId5" Type="http://schemas.openxmlformats.org/officeDocument/2006/relationships/footnotes" Target="footnotes.xml"/><Relationship Id="rId10" Type="http://schemas.openxmlformats.org/officeDocument/2006/relationships/hyperlink" Target="mailto:recruitment@moadoph.gov.au" TargetMode="External"/><Relationship Id="rId4" Type="http://schemas.openxmlformats.org/officeDocument/2006/relationships/webSettings" Target="webSettings.xml"/><Relationship Id="rId9" Type="http://schemas.openxmlformats.org/officeDocument/2006/relationships/hyperlink" Target="https://moadoph.gov.au/about/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553</Words>
  <Characters>3155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A23</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Lenihan, Katrina</dc:creator>
  <cp:keywords/>
  <dc:description/>
  <cp:lastModifiedBy>Lenihan, Katrina</cp:lastModifiedBy>
  <cp:revision>7</cp:revision>
  <dcterms:created xsi:type="dcterms:W3CDTF">2019-08-20T00:46:00Z</dcterms:created>
  <dcterms:modified xsi:type="dcterms:W3CDTF">2020-07-05T21:07:00Z</dcterms:modified>
</cp:coreProperties>
</file>